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7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7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001-41949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Metagenomi, Inc.</w:t>
      </w:r>
    </w:p>
    <w:p>
      <w:pPr>
        <w:sectPr>
          <w:pgSz w:w="11900" w:h="16838" w:orient="portrait"/>
          <w:cols w:equalWidth="0" w:num="1">
            <w:col w:w="11240"/>
          </w:cols>
          <w:pgMar w:left="320" w:top="1280" w:right="339" w:bottom="1440" w:gutter="0" w:footer="0" w:header="0"/>
        </w:sectPr>
      </w:pP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5959 Horton Street, 7th Floor</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Emeryville,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81-3909017</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94608</w:t>
      </w:r>
    </w:p>
    <w:p>
      <w:pPr>
        <w:spacing w:after="0" w:line="37" w:lineRule="exact"/>
        <w:rPr>
          <w:sz w:val="24"/>
          <w:szCs w:val="24"/>
          <w:color w:val="auto"/>
        </w:rPr>
      </w:pPr>
    </w:p>
    <w:p>
      <w:pPr>
        <w:sectPr>
          <w:pgSz w:w="11900" w:h="16838" w:orient="portrait"/>
          <w:cols w:equalWidth="0" w:num="2">
            <w:col w:w="7700" w:space="240"/>
            <w:col w:w="3300"/>
          </w:cols>
          <w:pgMar w:left="320" w:top="128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871-4880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MGX</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60" w:firstLine="599"/>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7, 2024, the registrant had 37,428,994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20" w:type="dxa"/>
            <w:vAlign w:val="bottom"/>
            <w:tcBorders>
              <w:bottom w:val="single" w:sz="8" w:color="0000EE"/>
            </w:tcBorders>
          </w:tcPr>
          <w:p>
            <w:pPr>
              <w:spacing w:after="0"/>
              <w:rPr>
                <w:sz w:val="18"/>
                <w:szCs w:val="18"/>
                <w:color w:val="auto"/>
              </w:rPr>
            </w:pPr>
          </w:p>
        </w:tc>
        <w:tc>
          <w:tcPr>
            <w:tcW w:w="37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(Deficit)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that are based on our management’s belief and assumptions and on information currently available to our management and which are made pursuant to the safe harbor provisions of Section 27A of the Securities Act of 1933, as amended, or the Securities Act, and Section 21E of the Securities Exchange Act of 1934, as amended, or the Exchange Act.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81"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and future clinical trials;</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demonstrate, and the timing of, preclinical proof-of-concept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for multiple programs;</w:t>
      </w:r>
    </w:p>
    <w:p>
      <w:pPr>
        <w:spacing w:after="0" w:line="119"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identify and successfully complete any 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initial target indications and to progress additional programs to further develop our pipeline;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(“IND”) applications submissions;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programs and technology;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genome editing technology and platform;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made by genome editing programs to accelerate our clinical trials and approval of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genome editing technology and platform;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17" w:lineRule="exact"/>
        <w:rPr>
          <w:rFonts w:ascii="Times New Roman" w:cs="Times New Roman" w:eastAsia="Times New Roman" w:hAnsi="Times New Roman"/>
          <w:sz w:val="18"/>
          <w:szCs w:val="18"/>
          <w:color w:val="auto"/>
        </w:rPr>
      </w:pPr>
    </w:p>
    <w:p>
      <w:pPr>
        <w:ind w:left="520" w:right="200" w:hanging="512"/>
        <w:spacing w:after="0" w:line="26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capital markets and other adverse macroeconomic factors, including due to inflationary pressures, interest rate and currency rate fluctuations, economic slowdown or recession, banking instability, monetary policy changes, geopolitical tensions or the outbreak of hostilities or war, including from the ongoing Russia-Ukraine conflict, the current conflict in Israel and Gaza (including any escalation or expansion) and increasing tensions between China and Taiwan; and</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capital requirements, and needs for additional financing.</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and are subject to change. You should not place undue reliance on forward-looking statements because they involve known and unknown risks, uncertainties, and other factors, which are, in some cases, beyond our control and which could materially affect results. Moreover, we operate in an evolving environment. New risk factors and uncertainties may emerge from time to time, and it is not possible for management to predict all risk factors and uncertainties.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 as exhibits to this Quarterly Report on Form 10-Q completely and with the understanding that our actual future results may be materially different from any future results expressed or implied by these forward-looking statements.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right="26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spacing w:after="0" w:line="18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entitled “Risk Factors” and elsewhere in this Quarterly Report on Form 10-Q.</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on Form 10-Q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Part II, Item 1A of this Quarterly Report on Form 10-Q titled “Risk Factors” and elsewhere in this Quarterly Report on Form 10-Q. These and other factors could cause results to differ materially from those expressed in the estimates made by independent third parties and by us.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Metagenomi,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data</w:t>
      </w:r>
      <w:r>
        <w:rPr>
          <w:rFonts w:ascii="Times New Roman" w:cs="Times New Roman" w:eastAsia="Times New Roman" w:hAnsi="Times New Roman"/>
          <w:sz w:val="18"/>
          <w:szCs w:val="18"/>
          <w:b w:val="1"/>
          <w:bCs w:val="1"/>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140,603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307,579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278,273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385,905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advance</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zero shares authorized, issued and outstanding as of June 30,</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 41,813,375 shares authorized, issued and outstanding as of December 31, 2023; liquidation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preference of $352,044 as of December 31, 2023</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350,758</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and zero shares authorized as of June 30, 2024</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December 31, 2023, respectively; zero shares issued and outstanding</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500,000,000 shares and 66,000,000 shares authorized as of June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30, 2024 and December 31, 2023, respectively; 37,459,853 and 3,404,585 shares issued and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outstanding as of June 30, 2024 and December 31, 2023, respectively</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(180,831 )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(144,944 )</w:t>
            </w:r>
          </w:p>
        </w:tc>
      </w:tr>
      <w:tr>
        <w:trPr>
          <w:trHeight w:val="20"/>
        </w:trPr>
        <w:tc>
          <w:tcPr>
            <w:tcW w:w="7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269,419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(135,584 )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385,905</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364,842</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-4328160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-4311015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-3068320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-2442210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Metagenomi,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data</w:t>
      </w:r>
      <w:r>
        <w:rPr>
          <w:rFonts w:ascii="Times New Roman" w:cs="Times New Roman" w:eastAsia="Times New Roman" w:hAnsi="Times New Roman"/>
          <w:sz w:val="18"/>
          <w:szCs w:val="18"/>
          <w:b w:val="1"/>
          <w:bCs w:val="1"/>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(16,863 )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(17,963 )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(45,895 )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(35,901 )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long-term investments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benefit (provision) for income taxes</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(12,938 )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(11,110 )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(38,086 )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(25,046 )</w:t>
            </w: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(1,898 )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(4,095 )</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(10,739 )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(35,887 )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(29,141 )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(10,726 )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(13,184 )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(36,055 )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(29,296 )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36,625,291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3,404,585</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28,901,399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3,404,585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-2305050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-2305050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-2305050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-1362075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-1362075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-1362075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-1045210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-1045210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-385445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-385445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Metagenomi,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data</w:t>
      </w:r>
      <w:r>
        <w:rPr>
          <w:rFonts w:ascii="Times New Roman" w:cs="Times New Roman" w:eastAsia="Times New Roman" w:hAnsi="Times New Roman"/>
          <w:sz w:val="18"/>
          <w:szCs w:val="18"/>
          <w:b w:val="1"/>
          <w:bCs w:val="1"/>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2060" w:type="dxa"/>
            <w:vAlign w:val="bottom"/>
            <w:tcBorders>
              <w:right w:val="single" w:sz="8" w:color="auto"/>
            </w:tcBorders>
            <w:gridSpan w:val="5"/>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2060" w:type="dxa"/>
            <w:vAlign w:val="bottom"/>
            <w:tcBorders>
              <w:right w:val="single" w:sz="8" w:color="auto"/>
            </w:tcBorders>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60" w:type="dxa"/>
            <w:vAlign w:val="bottom"/>
            <w:tcBorders>
              <w:right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Pr>
          <w:p>
            <w:pPr>
              <w:spacing w:after="0"/>
              <w:rPr>
                <w:sz w:val="14"/>
                <w:szCs w:val="14"/>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In</w:t>
            </w:r>
          </w:p>
        </w:tc>
        <w:tc>
          <w:tcPr>
            <w:tcW w:w="22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BALANCE—December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41,813,375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350,758</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3,404,585</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(144,944 )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(135,584 )</w:t>
            </w: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restricted</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in exchange for profits</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3,884,740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upon Reorganization</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redeemable convertible</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to common stock upon initial</w:t>
            </w: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(41,813,375 )</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(350,758 )</w:t>
            </w:r>
          </w:p>
        </w:tc>
        <w:tc>
          <w:tcPr>
            <w:tcW w:w="1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23,935,594</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350,756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350,758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public offering</w:t>
            </w:r>
          </w:p>
        </w:tc>
        <w:tc>
          <w:tcPr>
            <w:tcW w:w="11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public offering, net of issuance costs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Forfeiture of unvested common stock</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(6,841 )</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(181 )</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(181 )</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(25,148 )</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(25,148 )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BALANCE—March 31,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37,468,078</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445,999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(278 )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(170,092 )</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275,633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 of unvested common stock</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(8,225 )</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(10,739 )</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(10,739 )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BALANCE—June 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37,459,853</w:t>
            </w:r>
          </w:p>
        </w:tc>
        <w:tc>
          <w:tcPr>
            <w:tcW w:w="220" w:type="dxa"/>
            <w:vAlign w:val="bottom"/>
          </w:tcPr>
          <w:p>
            <w:pPr>
              <w:spacing w:after="0"/>
              <w:rPr>
                <w:sz w:val="14"/>
                <w:szCs w:val="14"/>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450,511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(265 )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(180,831 )</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BALANCE—December 31,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41,478,621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346,103</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3,404,585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(76,689 )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(74,428 )</w:t>
            </w: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Series B-1 redeemable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334,754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(16,133 )</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(16,133 )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BALANCE—March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41,813,375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350,758</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3,404,585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(253 )</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(92,822 )</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(90,011 )</w:t>
            </w: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(176 )</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(13,008 )</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(13,008 )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BALANCE—June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41,813,375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350,758</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3,404,585</w:t>
            </w:r>
          </w:p>
        </w:tc>
        <w:tc>
          <w:tcPr>
            <w:tcW w:w="220" w:type="dxa"/>
            <w:vAlign w:val="bottom"/>
          </w:tcPr>
          <w:p>
            <w:pPr>
              <w:spacing w:after="0"/>
              <w:rPr>
                <w:sz w:val="14"/>
                <w:szCs w:val="14"/>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(429 )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(105,830 )</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(102,539 )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-1559560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-1559560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-1559560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-1559560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-1559560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-1559560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-1559560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-599440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-599440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-599440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-599440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-599440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-599440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-599440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-145415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-145415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-145415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-145415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-145415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-145415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Metagenomi,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b w:val="1"/>
          <w:bCs w:val="1"/>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(35,887 )</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(29,141 )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fixed assets write-off</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premiums and discounts on available-for-sale marketable securities</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(3,201 )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(4,536 )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non-cash collaboration revenue</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(107 )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(507 )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long-term investments</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(2,870 )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(2,328 )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(274 )</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(3,266 )</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and collaboration advance</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(29,419 )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(16,161 )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(300 )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(717 )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(1,276 )</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9"/>
                <w:szCs w:val="19"/>
                <w:color w:val="auto"/>
              </w:rPr>
            </w:pPr>
          </w:p>
        </w:tc>
      </w:tr>
      <w:tr>
        <w:trPr>
          <w:trHeight w:val="23"/>
        </w:trPr>
        <w:tc>
          <w:tcPr>
            <w:tcW w:w="7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(56,159 )</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(47,087 )</w:t>
            </w:r>
          </w:p>
        </w:tc>
      </w:tr>
      <w:tr>
        <w:trPr>
          <w:trHeight w:val="221"/>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(1,580 )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(5,818 )</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available-for-sale marketable securities</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(249,166 )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(168,977 )</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available-for-sale marketable securities</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142,978</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(107,768 )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(90,787 )</w:t>
            </w: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initial public offering, net of underwriting discounts and</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commissions and other offering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stock, net of issuance costs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initial public offering costs</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84,505</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(79,422 )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(133,618 )</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145,851</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66,429</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56,896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redeemable convertible preferred stock to common stock upon initial public offering</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350,758</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and restricted common stock in exchange for profits interests upon Reorganization</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9,457</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Initial public offering costs included in accounts payable, accrued expenses and other current liabilities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of deferred offering costs paid in prior year to stockholders’ equity</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accrued expenses and other current liabilities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new lease liabilities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 of operating right-of use asset and lease liability</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initial public offering costs included in accounts payable, accrued expenses and other current liabilities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shd w:val="clear" w:color="auto" w:fill="CFF0FC"/>
          </w:tcPr>
          <w:p>
            <w:pPr>
              <w:spacing w:after="0"/>
              <w:rPr>
                <w:sz w:val="20"/>
                <w:szCs w:val="20"/>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61,181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51,648</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66,429</w:t>
            </w: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56,896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-4028440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Metagenomi,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Organization and business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Metagenomi, Inc. (“Metagenomi” or the “Company”) is a precision genetic medicines company committed to developing curative therapeutics for patients using our proprietary, comprehensive metagenomics-derived genome editing toolbox.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Formation and group reorganizations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Metagenomi.co was incorporated in September 2016 in the State of Delaware and is headquartered in Emeryville, California. In September 2018, Metagenomi.co formed a subsidiary, Metagenomi Technologies, LLC (“Metagenomi LLC”) as its sole member. In November 2018, the two companies completed a reorganization where Metagenomi LLC became the parent of Metagenomi.co. The reorganization was a transaction of entities under common control and did not change the group. In December 2018, Metagenomi LLC formed another wholly owned subsidiary, Metagenomi IP Technologies, LLC. Metagenomi IP Technologies, LLC did not have any operations except for the initial transfer of IP from Metagenomi.co and an ongoing license of its technology to Metagenomi.co. Key activities of Metagenomi LLC were raising capital to support operations of Metagenomi.co. In April 2020, Metagenomi.co changed its name to Metagenomi, Inc. In December 2021, the group completed another tax-free reorganization, whereby Metagenomi IP Technologies, LLC merged with and into Metagenomi,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Reorganization and Reverse Stock Split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On January 24, 2024, the Company completed a series of transactions pursuant to which Metagenomi LLC merged with and into Metagenomi, Inc., with Metagenomi, Inc. continuing as the surviving corporation (the “Reorganization”). In connection with the Reorganization, (i) all of the outstanding common unitholders received shares of common stock of Metagenomi, Inc., (ii) all of the outstanding preferred unitholders received shares of redeemable convertible preferred stock of Metagenomi, Inc. with the same rights and privileges and (iii) certain holders of profits interest units received shares of common stock and unvested restricted common stock in Metagenomi, Inc. as determined by the applicable provisions of the Amended and Restated Limited Liability Company Agreement dated December 20, 2022, as amended on July 31, 2023 (the “LLC Agreement”) in effect immediately prior to the Reorganization. </w:t>
      </w:r>
      <w:r>
        <w:rPr>
          <w:rFonts w:ascii="Times New Roman" w:cs="Times New Roman" w:eastAsia="Times New Roman" w:hAnsi="Times New Roman"/>
          <w:sz w:val="18"/>
          <w:szCs w:val="18"/>
          <w:color w:val="000000"/>
        </w:rPr>
        <w:t>In connection with the Reorganization, by operation of law, Metagenomi, Inc. acquired all assets of Metagenomi LLC, and assumed all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its liabilities and obligations. The Reorganization is expected to be a non-taxable transaction to Metagenomi, Inc. for U.S. income tax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On January 26, 2024, following the Reorganization, Metagenomi, Inc. effected a reverse stock split </w:t>
      </w:r>
      <w:r>
        <w:rPr>
          <w:rFonts w:ascii="Times New Roman" w:cs="Times New Roman" w:eastAsia="Times New Roman" w:hAnsi="Times New Roman"/>
          <w:sz w:val="18"/>
          <w:szCs w:val="18"/>
          <w:color w:val="000000"/>
        </w:rPr>
        <w:t>of the shares of common stock at a ratio of 1-for-</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1.74692 (the “Reverse Stock Split”). The number of authorized shares and par value per share were not adjusted as a result of the Reverse Stock Split. The Reorganization and the Reverse Stock Split was accounted for as a reorganization of entities under common control. All redeemable convertible preferred stock, common stock, additional paid-in-capital and per share amounts for all periods presented in the accompanying condensed consolidated financial statements and notes thereto have been adjusted retroactively, where applicable, to reflect this Reorganization and Reverse Stock Split.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connection with the Reorganization and also effecting the reverse stock split:</w:t>
      </w:r>
    </w:p>
    <w:p>
      <w:pPr>
        <w:spacing w:after="0" w:line="117" w:lineRule="exact"/>
        <w:rPr>
          <w:sz w:val="20"/>
          <w:szCs w:val="20"/>
          <w:color w:val="auto"/>
        </w:rPr>
      </w:pPr>
    </w:p>
    <w:p>
      <w:pPr>
        <w:ind w:left="520" w:right="100" w:hanging="512"/>
        <w:spacing w:after="0" w:line="261" w:lineRule="auto"/>
        <w:tabs>
          <w:tab w:leader="none" w:pos="5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A-1 redeemable convertible preferred units (“Series A-1 preferred units”) received one share of Series A-1 redeemable convertible preferred stock (“Series A-1 preferred stock”) of Metagenomi, Inc. for each Series A-1 preferred unit, with an aggregate of 7,501,002 shares of Series A-1 preferred stock outstanding, and after giving effect to the reverse stock split, such shares of Series A-1 preferred stock shall become convertible into an aggregate of 4,293,867 shares of common stock;</w:t>
      </w:r>
    </w:p>
    <w:p>
      <w:pPr>
        <w:spacing w:after="0" w:line="71" w:lineRule="exact"/>
        <w:rPr>
          <w:rFonts w:ascii="Times New Roman" w:cs="Times New Roman" w:eastAsia="Times New Roman" w:hAnsi="Times New Roman"/>
          <w:sz w:val="18"/>
          <w:szCs w:val="18"/>
          <w:color w:val="231F20"/>
        </w:rPr>
      </w:pPr>
    </w:p>
    <w:p>
      <w:pPr>
        <w:jc w:val="both"/>
        <w:ind w:left="520" w:right="200" w:hanging="512"/>
        <w:spacing w:after="0" w:line="261" w:lineRule="auto"/>
        <w:tabs>
          <w:tab w:leader="none" w:pos="5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A-2 redeemable convertible preferred units (“Series A-2 preferred units”) received one share of Series A-2 redeemable convertible preferred stock (“Series A-2 preferred stock”) of Metagenomi, Inc. for each Series A-2 preferred unit, with an aggregate of 774,473 shares of Series A-2 preferred stock outstanding, and after giving effect to the reverse stock split, such shares of Series A-2 preferred stock shall become convertible into an aggregate of 443,338 shares of common stock;</w:t>
      </w:r>
    </w:p>
    <w:p>
      <w:pPr>
        <w:spacing w:after="0" w:line="71" w:lineRule="exact"/>
        <w:rPr>
          <w:rFonts w:ascii="Times New Roman" w:cs="Times New Roman" w:eastAsia="Times New Roman" w:hAnsi="Times New Roman"/>
          <w:sz w:val="18"/>
          <w:szCs w:val="18"/>
          <w:color w:val="231F20"/>
        </w:rPr>
      </w:pPr>
    </w:p>
    <w:p>
      <w:pPr>
        <w:ind w:left="520" w:right="100" w:hanging="512"/>
        <w:spacing w:after="0" w:line="261" w:lineRule="auto"/>
        <w:tabs>
          <w:tab w:leader="none" w:pos="5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A-3 redeemable convertible preferred units (“Series A-3 preferred units”) received one share of Series A-3 redeemable convertible preferred stock (“Series A-3 preferred stock”) of Metagenomi, Inc. for each Series A-3 preferred unit, with an aggregate of 1,513,860 shares of Series A-3 preferred stock outstanding, and after giving effect to the reverse stock split, such shares of Series A-3 preferred stock shall become convertible into an aggregate of 866,589 shares of common stock;</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9" w:name="page10"/>
    <w:bookmarkEnd w:id="9"/>
    <w:p>
      <w:pPr>
        <w:ind w:left="520" w:right="160" w:hanging="512"/>
        <w:spacing w:after="0" w:line="261" w:lineRule="auto"/>
        <w:tabs>
          <w:tab w:leader="none" w:pos="5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A-4 redeemable convertible preferred units (“Series A-4 preferred units”) received one share of Series A-4 redeemable convertible preferred stock (“Series A-4 preferred stock”) of Metagenomi, Inc. for each Series A-4 preferred unit, with an aggregate of 8,280,360 shares of Series A-4 preferred stock outstanding, and after giving effect to the reverse stock split, such shares of Series A-4 preferred stock shall become convertible into an aggregate of 4,740,000 shares of common stock;</w:t>
      </w:r>
    </w:p>
    <w:p>
      <w:pPr>
        <w:spacing w:after="0" w:line="71" w:lineRule="exact"/>
        <w:rPr>
          <w:rFonts w:ascii="Times New Roman" w:cs="Times New Roman" w:eastAsia="Times New Roman" w:hAnsi="Times New Roman"/>
          <w:sz w:val="18"/>
          <w:szCs w:val="18"/>
          <w:color w:val="231F20"/>
        </w:rPr>
      </w:pPr>
    </w:p>
    <w:p>
      <w:pPr>
        <w:ind w:left="520" w:right="160" w:hanging="512"/>
        <w:spacing w:after="0" w:line="261" w:lineRule="auto"/>
        <w:tabs>
          <w:tab w:leader="none" w:pos="5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A-5 redeemable convertible preferred units (“Series A-5 preferred units”) received one share of Series A-5 redeemable convertible preferred stock (“Series A-5 preferred stock”) of Metagenomi, Inc. for each Series A-5 preferred unit, with an aggregate of 1,580,937 shares of Series A-5 preferred stock outstanding, and after giving effect to the reverse stock split, such shares of Series A-5 preferred stock shall become convertible into an aggregate of 904,990 shares of common stock;</w:t>
      </w:r>
    </w:p>
    <w:p>
      <w:pPr>
        <w:spacing w:after="0" w:line="71" w:lineRule="exact"/>
        <w:rPr>
          <w:rFonts w:ascii="Times New Roman" w:cs="Times New Roman" w:eastAsia="Times New Roman" w:hAnsi="Times New Roman"/>
          <w:sz w:val="18"/>
          <w:szCs w:val="18"/>
          <w:color w:val="231F20"/>
        </w:rPr>
      </w:pPr>
    </w:p>
    <w:p>
      <w:pPr>
        <w:ind w:left="520" w:right="80" w:hanging="512"/>
        <w:spacing w:after="0" w:line="261" w:lineRule="auto"/>
        <w:tabs>
          <w:tab w:leader="none" w:pos="5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B redeemable convertible preferred units (“Series B preferred units”) received one share of Series B redeemable convertible preferred stock (“Series B preferred stock”) of Metagenomi, Inc. for each Series B preferred unit, with an aggregate of 15,054,263 shares of Series B preferred stock outstanding, and after giving effect to the reverse stock split, such shares of Series B preferred stock shall become convertible into an aggregate of 8,617,649 shares of common stock;</w:t>
      </w:r>
    </w:p>
    <w:p>
      <w:pPr>
        <w:spacing w:after="0" w:line="71" w:lineRule="exact"/>
        <w:rPr>
          <w:rFonts w:ascii="Times New Roman" w:cs="Times New Roman" w:eastAsia="Times New Roman" w:hAnsi="Times New Roman"/>
          <w:sz w:val="18"/>
          <w:szCs w:val="18"/>
          <w:color w:val="231F20"/>
        </w:rPr>
      </w:pPr>
    </w:p>
    <w:p>
      <w:pPr>
        <w:ind w:left="520" w:right="180" w:hanging="512"/>
        <w:spacing w:after="0" w:line="261" w:lineRule="auto"/>
        <w:tabs>
          <w:tab w:leader="none" w:pos="5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Series B-1 redeemable convertible preferred units (“Series B-1 preferred units”) received one share of Series B-1 redeemable convertible preferred stock (“Series B-1 preferred stock”) of Metagenomi, Inc. for each Series B-1 preferred unit, with an aggregate of 7,108,480 shares of Series B-1 preferred stock outstanding, and after giving effect to the reverse stock split, such shares of Series B-1 preferred stock shall become convertible into an aggregate of 4,069,161 shares of common stock;</w:t>
      </w:r>
    </w:p>
    <w:p>
      <w:pPr>
        <w:spacing w:after="0" w:line="71" w:lineRule="exact"/>
        <w:rPr>
          <w:rFonts w:ascii="Times New Roman" w:cs="Times New Roman" w:eastAsia="Times New Roman" w:hAnsi="Times New Roman"/>
          <w:sz w:val="18"/>
          <w:szCs w:val="18"/>
          <w:color w:val="231F20"/>
        </w:rPr>
      </w:pPr>
    </w:p>
    <w:p>
      <w:pPr>
        <w:ind w:left="520" w:right="140" w:hanging="512"/>
        <w:spacing w:after="0" w:line="282" w:lineRule="auto"/>
        <w:tabs>
          <w:tab w:leader="none" w:pos="5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holders of Metagenomi LLC’s outstanding common units received one share of common stock of Metagenomi, Inc. for each common unit, with an aggregate of 3,404,585 shares of common stock outstanding, after giving effect to the reverse stock split; and</w:t>
      </w:r>
    </w:p>
    <w:p>
      <w:pPr>
        <w:spacing w:after="0" w:line="53" w:lineRule="exact"/>
        <w:rPr>
          <w:rFonts w:ascii="Times New Roman" w:cs="Times New Roman" w:eastAsia="Times New Roman" w:hAnsi="Times New Roman"/>
          <w:sz w:val="18"/>
          <w:szCs w:val="18"/>
          <w:color w:val="231F20"/>
        </w:rPr>
      </w:pPr>
    </w:p>
    <w:p>
      <w:pPr>
        <w:jc w:val="both"/>
        <w:ind w:left="520" w:right="80" w:hanging="512"/>
        <w:spacing w:after="0" w:line="289" w:lineRule="auto"/>
        <w:tabs>
          <w:tab w:leader="none" w:pos="520" w:val="left"/>
        </w:tabs>
        <w:numPr>
          <w:ilvl w:val="0"/>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holders of Metagenomi LLC’s outstanding profits interests received 0 - 0.997816 shares of common stock in accordance with the Metagenomi LLC operating agreement for each profits interest, with an aggregate of 3,884,740 shares of common stock outstanding (which includes 1,036,833 shares of unvested restricted common stock), after giving effect to the reverse stock split. Vesting terms of outstanding profits interests did not 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Initial Public Offering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8, 2024, Metagenomi, Inc.’s Form S-1 Registration Statement for its initial public offering (the “IPO”) was declared effective and the common stock of Metagenomi, Inc. began trading on the Nasdaq Global Select Market under the symbol “MGX.” On February 13, 2024, the closing date of IPO, the Company issued 6,250,000 shares of common stock at a price to the public of $15.00 per share. In connection with the closing of the IPO, the Company received gross proceeds of approximately $93.8 million and net proceeds of approximately $80.7 million, after deducting underwriting discounts and commissions and other offering costs totaling approximately $13.0 million.</w:t>
      </w:r>
    </w:p>
    <w:p>
      <w:pPr>
        <w:spacing w:after="0" w:line="18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Immediately prior to the IPO closing, each share of Metagenomi, Inc.’s redeemable convertible preferred stock then outstanding converted into shares of common stock at a conversion ratio of 1.74692, based on the formula set forth in Metagenomi, Inc.’s amended and restated certificate of incorporation in effect immediately prior to the closing of the IPO and giving effect to the reverse stock split. </w:t>
      </w:r>
      <w:r>
        <w:rPr>
          <w:rFonts w:ascii="Times New Roman" w:cs="Times New Roman" w:eastAsia="Times New Roman" w:hAnsi="Times New Roman"/>
          <w:sz w:val="18"/>
          <w:szCs w:val="18"/>
          <w:color w:val="231F20"/>
        </w:rPr>
        <w:t>In connection with the closing of the IPO, Metagenomi,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increased the authorized number of shares of common stock to 500,000,000 shares, $0.0001 par value per share, and 10,000,000 shares of preferred stock, $0.0001 par value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and going concern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The Company has incurred significant losses from operations since its inception. As of June 30, 2024, the Company had an accumulated deficit of $180.8 million. The Company has historically financed its operations primarily through issuance of redeemable convertible preferred stock, convertible promissory notes, its collaboration agreements, and sales of its common stock. In February 2024, the Company completed its IPO for aggregate net proceeds of approximately $80.7 million, after deducting underwriting discounts and commissions and other offering costs totaling approximately $13.0 million. The Company expects to continue to incur substantial losses,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Management believes that existing cash, cash equivalents and available-for-sale marketable securities as of June 30, 2024 of $299.9 million will be sufficient to fund its current operating plan for at least the next 12 months from the date of issuance of these unaudited condensed consolidated financial statements.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to the consolidated financial statements included in the Annual Report for the year ended December 31, 2023. There have been no material changes to these policies during the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 xml:space="preserve">These condensed consolidated financial statements have been prepared in accordance with accounting principles generally accepted in the United States of America (“U.S. GAAP”) for interim financial information and pursuant to Form 10-Q and Article 10 of Regulation S-X of the Securities and Exchanges Commission (“SEC”). Accordingly, these financial statements do not include all of the information and footnotes required by U.S. GAAP for complete financial statements. In the opinion of management, these financial statements include all adjustments (consisting only of normal recurring adjustments) considered necessary for a fair statement of the Company’s condensed consolidated financial statements for the periods presented. </w:t>
      </w:r>
      <w:r>
        <w:rPr>
          <w:rFonts w:ascii="Times New Roman" w:cs="Times New Roman" w:eastAsia="Times New Roman" w:hAnsi="Times New Roman"/>
          <w:sz w:val="18"/>
          <w:szCs w:val="18"/>
          <w:color w:val="000000"/>
        </w:rPr>
        <w:t>These interim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results are not necessarily indicative of results to be expected for the full fiscal year ending December 31, 2024, or any other future period. Readers should read these interim unaudited condensed consolidated financial statements in conjunction with the audited consolidated financial statements and the related notes thereto for the year ended December 31, 2023, included in the Company’s Annual Report on Form 10-K filed with the SEC. </w:t>
      </w:r>
      <w:r>
        <w:rPr>
          <w:rFonts w:ascii="Times New Roman" w:cs="Times New Roman" w:eastAsia="Times New Roman" w:hAnsi="Times New Roman"/>
          <w:sz w:val="18"/>
          <w:szCs w:val="18"/>
          <w:color w:val="231F20"/>
        </w:rPr>
        <w:t>Any reference in these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notes to applicable guidance is meant to refer to the authoritative GAAP as found in the Accounting Standards Codification (“ASC”) and Accounting Standards Updates (“ASU”) of the Financial Accounting Standards Board (“FASB”).</w:t>
      </w:r>
    </w:p>
    <w:p>
      <w:pPr>
        <w:spacing w:after="0" w:line="1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231F20"/>
        </w:rPr>
        <w:t xml:space="preserve">The accompanying condensed consolidated financial statements include the accounts of Metagenomi, Inc. and the accounts of Metagenomi LLC, retroactively </w:t>
      </w:r>
      <w:r>
        <w:rPr>
          <w:rFonts w:ascii="Times New Roman" w:cs="Times New Roman" w:eastAsia="Times New Roman" w:hAnsi="Times New Roman"/>
          <w:sz w:val="18"/>
          <w:szCs w:val="18"/>
          <w:color w:val="000000"/>
        </w:rPr>
        <w:t>adjusted for the Reorganization and Reverse Stock Split (see Note 1).</w:t>
      </w:r>
      <w:r>
        <w:rPr>
          <w:rFonts w:ascii="Times New Roman" w:cs="Times New Roman" w:eastAsia="Times New Roman" w:hAnsi="Times New Roman"/>
          <w:sz w:val="18"/>
          <w:szCs w:val="18"/>
          <w:color w:val="231F20"/>
        </w:rPr>
        <w:t xml:space="preserve">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revenue recognition under its collaboration agreements, the fair value of its common stock, stock-based compensation expense, accruals for research and development expenses, the fair value of long-term investments, the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Recently issued accounting pronouncements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In November 2023, the FASB issued ASU 2023-07, Segment Reporting (Topic 280): Improvements to Reportable Segment Disclosures. This ASU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the adoption of this standard on its financial statements.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231F20"/>
        </w:rPr>
        <w:t>In December 2023, the FASB issued ASU 2023-09, Income Taxes (Topic 740): Improvements to Income Tax Disclosures. This ASU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the adoption of this standard on its financial statements.</w:t>
      </w:r>
    </w:p>
    <w:p>
      <w:pPr>
        <w:spacing w:after="0" w:line="28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231F20"/>
        </w:rPr>
        <w:t>Assets and liabilities recorded at fair value on a recurring basis in the condensed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The accounting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i w:val="1"/>
          <w:iCs w:val="1"/>
          <w:color w:val="231F20"/>
        </w:rPr>
        <w:t xml:space="preserve">Level 1 </w:t>
      </w:r>
      <w:r>
        <w:rPr>
          <w:rFonts w:ascii="Times New Roman" w:cs="Times New Roman" w:eastAsia="Times New Roman" w:hAnsi="Times New Roman"/>
          <w:sz w:val="18"/>
          <w:szCs w:val="18"/>
          <w:color w:val="231F20"/>
        </w:rPr>
        <w:t>— Inputs are unadjusted, quoted prices in active markets for identical assets or liabilities at the measurement date;</w:t>
      </w:r>
    </w:p>
    <w:p>
      <w:pPr>
        <w:spacing w:after="0" w:line="117" w:lineRule="exact"/>
        <w:rPr>
          <w:sz w:val="20"/>
          <w:szCs w:val="20"/>
          <w:color w:val="auto"/>
        </w:rPr>
      </w:pPr>
    </w:p>
    <w:p>
      <w:pPr>
        <w:ind w:left="520" w:right="8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Level 2 </w:t>
      </w:r>
      <w:r>
        <w:rPr>
          <w:rFonts w:ascii="Times New Roman" w:cs="Times New Roman" w:eastAsia="Times New Roman" w:hAnsi="Times New Roman"/>
          <w:sz w:val="18"/>
          <w:szCs w:val="18"/>
          <w:color w:val="231F20"/>
        </w:rPr>
        <w:t>— Inputs are observable, unadjusted quoted prices in active markets for similar assets or liabilities, unadjusted quoted prices for identical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similar assets or liabilities in markets that are not active, or other inputs that are observable or can be corroborated by observable market data for substantially the full term of the related assets or liabilities; and</w:t>
      </w:r>
    </w:p>
    <w:p>
      <w:pPr>
        <w:spacing w:after="0" w:line="65" w:lineRule="exact"/>
        <w:rPr>
          <w:sz w:val="20"/>
          <w:szCs w:val="20"/>
          <w:color w:val="auto"/>
        </w:rPr>
      </w:pPr>
    </w:p>
    <w:p>
      <w:pPr>
        <w:ind w:left="520" w:right="24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Level 3 </w:t>
      </w:r>
      <w:r>
        <w:rPr>
          <w:rFonts w:ascii="Times New Roman" w:cs="Times New Roman" w:eastAsia="Times New Roman" w:hAnsi="Times New Roman"/>
          <w:sz w:val="18"/>
          <w:szCs w:val="18"/>
          <w:color w:val="231F20"/>
        </w:rPr>
        <w:t>— Unobservable inputs that are significant to the measurement of the fair value of the assets or liabilities that are supported by little or no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market data.</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Assets and liabilities measured at fair value are classified in their entirety based on the lowest level of input that is significant to the fair value measurement. An assessment of the significance of a particular input to the fair value measurement in its entirety requires management to make judgments and consider factors specific to the asset or liability. Changes in the ability to observe valuation inputs may result in a reclassification of levels of certain securities within the fair value hierarchy. The Company recognizes transfers into and out of levels within the fair value hierarchy in the period in which the actual event or change in circumstances that caused the transfer occurs.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 xml:space="preserve">The Company’s financial instruments measured at fair value on a recurring basis consist of Level 1, Level 2, and Level 3 financial instruments. Usually, marketable securities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 U.S. Government bonds, corporate debt obligations, commercial paper, government agency obligations and asset-backed securities are valued primarily using market prices of comparable securities, bid/ask quotes, interest rate yields and prepayment spreads and are included in Level 2. Financial assets and liabilities are considered Level 3 when their fair values are determined using pricing models, discounted cash flow methodologies, or similar techniques, and at least </w:t>
      </w:r>
      <w:r>
        <w:rPr>
          <w:rFonts w:ascii="Times New Roman" w:cs="Times New Roman" w:eastAsia="Times New Roman" w:hAnsi="Times New Roman"/>
          <w:sz w:val="18"/>
          <w:szCs w:val="18"/>
          <w:color w:val="000000"/>
        </w:rPr>
        <w:t>one significant model assumption or input is unobservable.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investments in preferred stock and common stock of </w:t>
      </w:r>
      <w:r>
        <w:rPr>
          <w:rFonts w:ascii="Times New Roman" w:cs="Times New Roman" w:eastAsia="Times New Roman" w:hAnsi="Times New Roman"/>
          <w:sz w:val="18"/>
          <w:szCs w:val="18"/>
          <w:color w:val="231F20"/>
        </w:rPr>
        <w:t>Affini-T Therapeutics, Inc. (“</w:t>
      </w:r>
      <w:r>
        <w:rPr>
          <w:rFonts w:ascii="Times New Roman" w:cs="Times New Roman" w:eastAsia="Times New Roman" w:hAnsi="Times New Roman"/>
          <w:sz w:val="18"/>
          <w:szCs w:val="18"/>
          <w:color w:val="000000"/>
        </w:rPr>
        <w:t xml:space="preserve">Affini-T”) (see Note 5) </w:t>
      </w:r>
      <w:r>
        <w:rPr>
          <w:rFonts w:ascii="Times New Roman" w:cs="Times New Roman" w:eastAsia="Times New Roman" w:hAnsi="Times New Roman"/>
          <w:sz w:val="18"/>
          <w:szCs w:val="18"/>
          <w:color w:val="231F20"/>
        </w:rPr>
        <w:t>are Level 3 financial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tables summarize financial assets that were measured at fair value on a recurring basis by level within the fair value hierarchy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bonds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obligations</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debt securities</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investments (Note 5)</w:t>
            </w: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20"/>
                <w:szCs w:val="20"/>
                <w:color w:val="auto"/>
              </w:rPr>
            </w:pPr>
          </w:p>
        </w:tc>
      </w:tr>
      <w:tr>
        <w:trPr>
          <w:trHeight w:val="277"/>
        </w:trPr>
        <w:tc>
          <w:tcPr>
            <w:tcW w:w="5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7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307,041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5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137,216</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137,216</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bonds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obligations</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debt securities</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investments (Note 5)</w:t>
            </w: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20"/>
                <w:szCs w:val="20"/>
                <w:color w:val="auto"/>
              </w:rPr>
            </w:pPr>
          </w:p>
        </w:tc>
      </w:tr>
      <w:tr>
        <w:trPr>
          <w:trHeight w:val="277"/>
        </w:trPr>
        <w:tc>
          <w:tcPr>
            <w:tcW w:w="5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276,316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137,216</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shd w:val="clear" w:color="auto" w:fill="CFF0FC"/>
          </w:tcPr>
          <w:p>
            <w:pPr>
              <w:spacing w:after="0"/>
              <w:rPr>
                <w:sz w:val="24"/>
                <w:szCs w:val="24"/>
                <w:color w:val="auto"/>
              </w:rPr>
            </w:pPr>
          </w:p>
        </w:tc>
      </w:tr>
      <w:tr>
        <w:trPr>
          <w:trHeight w:val="592"/>
        </w:trPr>
        <w:tc>
          <w:tcPr>
            <w:tcW w:w="506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5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-3007995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-2990850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-3007995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-2990850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-3007995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-2990850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-899160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-882015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-899160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-882015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-899160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-882015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ind w:right="380"/>
        <w:spacing w:after="0" w:line="282" w:lineRule="auto"/>
        <w:rPr>
          <w:sz w:val="20"/>
          <w:szCs w:val="20"/>
          <w:color w:val="auto"/>
        </w:rPr>
      </w:pPr>
      <w:r>
        <w:rPr>
          <w:rFonts w:ascii="Times New Roman" w:cs="Times New Roman" w:eastAsia="Times New Roman" w:hAnsi="Times New Roman"/>
          <w:sz w:val="18"/>
          <w:szCs w:val="18"/>
          <w:color w:val="231F20"/>
        </w:rPr>
        <w:t>In addition, restricted cash of $5.2 million as of June 30, 2024 and December 31, 2023, collateralized by the Company’s cash equivalents, are financial assets measured at fair value and are Level 1 financial instruments under the fair value hierarchy.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 xml:space="preserve">The Company accounts for its investments in preferred stock and common stock of Affini-T by applying an option-pricing model backsolve method for inferring the total equity value implied by a recent Series A preferred stock financing round of Affini-T. </w:t>
      </w:r>
      <w:r>
        <w:rPr>
          <w:rFonts w:ascii="Times New Roman" w:cs="Times New Roman" w:eastAsia="Times New Roman" w:hAnsi="Times New Roman"/>
          <w:sz w:val="18"/>
          <w:szCs w:val="18"/>
          <w:color w:val="000000"/>
        </w:rPr>
        <w:t>Key assumptions used in the valuation model as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June 30, 2024 and December 31, 2023 included an expected holding period of two years, a risk free interest rate of 4.87%, a dividend yield of 0.0% and an estimated volatility of 83.0%. Estimated volatility was calculated based on the historical volatility of a selected peer group of public companies comparable to Affini-T.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a summary of the changes in the fair value of the Company’s Level 3 financial assets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8,521</w:t>
            </w:r>
          </w:p>
        </w:tc>
        <w:tc>
          <w:tcPr>
            <w:tcW w:w="98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5,651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included in other income (expense)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2,870</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Borders>
              <w:bottom w:val="single" w:sz="8" w:color="CFF0FC"/>
            </w:tcBorders>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8,521</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8,521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tables summarize the amortized cost, unrealized gains (losses) and fair value of available-for-sale marketable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96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98,802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agency obligations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debt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298,785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(364 )</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classified as cash equivalents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(59,780 )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(59,780 )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239,005</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96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agency obligations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debt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267,892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(110 )</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classified as cash equivalents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(137,216 )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(137,216 )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130,676</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-2253615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-2236470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-2253615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-2236470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-2253615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-2236470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As of June 30, 2024 and December 31, 2023, no significant facts or circumstances were present to indicate a deterioration in the creditworthiness of the issuers of the available-for-sale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three and six months ended June 30, 2024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231F20"/>
        </w:rPr>
        <w:t>and 2023, the Company did not recognize any impairment losses on its investments.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Accrued interest receivable included in prepaid expenses and other current assets as of June 30, 2024 and December 31, 2023 was $1.4 million and $1.0 million, respectively. The company has not written off any accrued interest receivable during the three and six months ended June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amortized cost and fair value of available-for-sale marketable securities by contractual maturity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160,596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160,302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in one to five years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239,005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130,676</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Affini-T investment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2024 and December 31, 2023, the Company had investments in shares of preferred stock and common stock of Affini-T consisting of </w:t>
      </w:r>
      <w:r>
        <w:rPr>
          <w:rFonts w:ascii="Times New Roman" w:cs="Times New Roman" w:eastAsia="Times New Roman" w:hAnsi="Times New Roman"/>
          <w:sz w:val="18"/>
          <w:szCs w:val="18"/>
          <w:color w:val="231F20"/>
        </w:rPr>
        <w:t>527,035 shares of Series A convertible preferred stock and 933,650 shares of common stock</w:t>
      </w:r>
      <w:r>
        <w:rPr>
          <w:rFonts w:ascii="Times New Roman" w:cs="Times New Roman" w:eastAsia="Times New Roman" w:hAnsi="Times New Roman"/>
          <w:sz w:val="18"/>
          <w:szCs w:val="18"/>
          <w:color w:val="000000"/>
        </w:rPr>
        <w:t>. The Company performed a VIE analysis and concluded that it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was not a primary beneficiary of Affini-T as of June 30, 2024 and December 31, 2023. The Company is using the fair value method to account for its investments in Affini-T with changes in fair value recorded to other income (expense) in the condensed consolidated statements of operations and comprehensive loss. Refer to Note 7 for further discussion of the </w:t>
      </w:r>
      <w:r>
        <w:rPr>
          <w:rFonts w:ascii="Times New Roman" w:cs="Times New Roman" w:eastAsia="Times New Roman" w:hAnsi="Times New Roman"/>
          <w:sz w:val="18"/>
          <w:szCs w:val="18"/>
          <w:color w:val="231F20"/>
        </w:rPr>
        <w:t>Development, Option and License Agreement with Affini-T to perform research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development activities.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31F20"/>
        </w:rPr>
        <w:t>The Company accounts for its investments in Affini-T at fair value using an option-pricing valuation model and recent financing transactions at Affini-T (see Note 3). The estimated fair value of its investments in Affini-T was $8.5 million as of June 30, 2024 and December 31, 2023. The Company recognized no change in fair value during the three and six months ended June 30, 2024 and a $2.9 million change in fair value during the three and six months ended June 30, 2023. No impairment loss was recognized on the Company’s investment in Affini-T as of June 30, 2024 or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ViTToria investment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As of June 30, 2024 and December 31, 2023, the Company had an investment in shares of preferred stock of ViTToria Biotherapeutics, Inc. (“Vittoria”), a private biotechnology company. During the six months ended June 30, 2024 and year ended December 31, 2023, the Company did not have a board seat and owned less than 20% of the outstanding voting shares of Vittoria. The investment in Vittoria does not provide the Company the ability to control or have significant influence over Vittoria’s operations. The Company accounts for its investment in Vittoria using the measurement alternative method. As of June 30, 2024 and December 31, 2023, the carrying value of Vittoria’s investment was $2.2 million and no impairment was recognized</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Accrued expenses and other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personnel related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 strategic collaboration and license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agreement</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On October 29, 2021, the Company entered into a Strategic Collaboration and License Agreement with </w:t>
      </w:r>
      <w:r>
        <w:rPr>
          <w:rFonts w:ascii="Times New Roman" w:cs="Times New Roman" w:eastAsia="Times New Roman" w:hAnsi="Times New Roman"/>
          <w:sz w:val="18"/>
          <w:szCs w:val="18"/>
          <w:color w:val="231F20"/>
        </w:rPr>
        <w:t>ModernaTX, Inc. (“</w:t>
      </w:r>
      <w:r>
        <w:rPr>
          <w:rFonts w:ascii="Times New Roman" w:cs="Times New Roman" w:eastAsia="Times New Roman" w:hAnsi="Times New Roman"/>
          <w:sz w:val="18"/>
          <w:szCs w:val="18"/>
          <w:color w:val="auto"/>
        </w:rPr>
        <w:t>Moderna”) (the “Moderna Agreement”). On April 26, 2024, the Company and Moderna mutually terminated the Moderna Agreement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00"/>
        <w:spacing w:after="0" w:line="266" w:lineRule="auto"/>
        <w:rPr>
          <w:sz w:val="20"/>
          <w:szCs w:val="20"/>
          <w:color w:val="auto"/>
        </w:rPr>
      </w:pPr>
      <w:r>
        <w:rPr>
          <w:rFonts w:ascii="Times New Roman" w:cs="Times New Roman" w:eastAsia="Times New Roman" w:hAnsi="Times New Roman"/>
          <w:sz w:val="18"/>
          <w:szCs w:val="18"/>
          <w:color w:val="auto"/>
        </w:rPr>
        <w:t>“Termination”). The Moderna Agreement was terminated pursuant to a Mutual Termination Agreement (the “Termination Agreement”), dated as of April 26, 2024, by and between the Company and Moderna. Pursuant to the Termination Agreement, the Company regained full development and commercialization rights to its wholly-owned base editing and RNA-mediated integration systems (“RIGS”) that were subject to the Moderna Agreement.</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Prior to the Termination, the parties collaborated on the research and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therapies directed at certain targets and the commercialization of such genome editing therapies. The collaboration provided Moderna with exclusive access to the Company’s technology platform during the research period in (1) the field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technology for a therapeutic, ameliorative or prophylactic application by way of knock-out through InDel formation or base editing or insertion of an exogenous DNA template (such field, “DT Field”) and (2) the field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technology for a therapeutic, ameliorative or prophylactic application outside the use of (a) DNA donor templates and (b) no exogenous template at all but including (c) correction by base editing (such field, “RT Field”). The use of RIGS with messenger RNA (“mRNA”) and base editing correction with mRNA was within the RT Field exclusive to Moderna within the term. The parties formed a joint steering committee, a joint research subcommittee and a joint patent subcommittee to oversee the collaboration activities.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terms of the Moderna Agreement, the parties agreed to collaborate on one or more programs in the RT Field (the “Moderna RT program”) and two programs in the DT Field (the “Moderna DT program” and the “DT Co-Co program”).</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With respect to the Moderna RT program and Moderna DT program, the parties agreed to collaborate on the research and development of product candidates under the approved research plans. The initial research term of the Moderna RT program was four years, which could have been extended by Moderna for an additional three years upon written notice and a payment of extension fees. The initial research term of the Moderna DT program was four years. The Company granted Moderna an option to obtain an exclusive license to develop, manufacture and commercialize up to ten Moderna RT program candidates and up to two Moderna DT program candidates at any time during the research term and prior to filing of an investigational new drug (“IND”) application with the Food and Drug Administration (“FDA”) or any similar application filed with a regulatory authority in a country other than the United States (“U.S.”), subject to Moderna’s payment of an option exercise fee of $10.0 million per target.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respect to the DT Co-Co program, the parties agreed to work together on the co-development and commercialization of products and shared costs and profits equally. The Company maintained commercialization rights in the U.S. (subject to Moderna’s right to appoint up to 50% of the U.S. sales force for the DT Co-Co program), while Moderna maintained these rights in countries other than the U.S. The initial research term for the DT Co-Co program was four years, and each party had a right to opt-out of the DT Co-Co program at any time, at which point the other party had the right to solely continue the development and commercialization activities. If there was no development candidate nomination by the end of the initial research term, the DT Co-Co program would have expired, unless the parties had mutually agreed to continue the program.</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received a non-refundable upfront payment of $40.0 million and a $5.0 million payment for the first year of research costs. Concurrent with the Moderna Agreement, Moderna also provided $30.0 million in cash in the form of a convertible promissory note pursuant to a convertible promissory note agreement dated October 29, 2021 (the “Moderna Convertible Promissory Note Agreement”). The convertible promissory note was converted into shares of Series B redeemable convertible preferred units in January 2022. Moderna reimbursed the Company up to $5.0 million in annual research and development costs related to the Moderna RT program and Moderna DT program, or up to the agreed amount of expenses per the budget. As of June 30, 2024, the Company has received a total of $56.6 million under the Moderna Agreement, not including cost-sharing payments under the DT Co-Co program.</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the Moderna RT program and Moderna DT program, the Company was eligible to receive (i) technology milestone fees related to the achievement of certain preclinical research objectives, of up to $75.0 million, (ii) development and regulatory milestones of up to $100.0 million per target, (iii) sales milestones of up to $200.0 million per target and (iv) royalties ranging from a mid-single digit to a low-teens percentage of annual net sales of a licensed product. Any profits and losses from the co-development and commercialization of the DT Co-Co program were shared equally between the Company and Moderna. With respect to the DT Co-Co program for which the opt-out party had exercised its opt-out right, the continuing party would have paid to the opt-out party, certain development, regulatory and sales milestone payments that would not have exceeded an aggregate $239.0 million per DT Co-Co target, and opt-out royalties ranging from a high-single digit to a low-teens percentage of annual net sales of a licensed product.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concluded that the Moderna RT program and Moderna DT program are in the scope of ASC 606. The Company determined that the licenses granted to Moderna, and its participation in the joint steering committee are not capable of being distinct from the preclinical research and development services and therefore concluded that there are two performance obligations: (1) the Moderna RT program and (2) the Moderna DT program. The Company also concluded that the option to obtain an exclusive license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360"/>
        <w:spacing w:after="0" w:line="282" w:lineRule="auto"/>
        <w:rPr>
          <w:sz w:val="20"/>
          <w:szCs w:val="20"/>
          <w:color w:val="auto"/>
        </w:rPr>
      </w:pPr>
      <w:r>
        <w:rPr>
          <w:rFonts w:ascii="Times New Roman" w:cs="Times New Roman" w:eastAsia="Times New Roman" w:hAnsi="Times New Roman"/>
          <w:sz w:val="18"/>
          <w:szCs w:val="18"/>
          <w:color w:val="auto"/>
        </w:rPr>
        <w:t>and options to extend the Moderna RT program term do not include significant incremental discounts, and as such, the options do not provide material rights.</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concluded that the DT Co-Co program research activities are within the scope of ASC 808, as the Company and Moderna were both active participants in the research, development and commercialization activities, were exposed to significant risks and rewards that were dependent on the success of the DT Co-Co program activities and share costs and profits equally. The Company determined that the guidance in ASC 730,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 was appropriate to apply to the DT Co-Co program research activities by analogy, based on the nature of the cost sharing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Company concluded that DT Co-Co program is one unit of accounting, as the co-exclusive license is not distinct from the research and development and the participation in joint steering committee activities. The Company recognized payments to or from Moderna related to the DT Co-Co program cost sharing research activities as an increase to or reduction of research and development expenses, respectively.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concluded that the Moderna Agreement and the Moderna Convertible Promissory Note Agreement should be combined and treated as a single arrangement for accounting purposes as the agreements were entered into contemporaneously and in contemplation of one another. The Company estimated the contract consideration to be $90.0 million, which consisted of: 1) the non-refundable upfront collaboration payment of $40.0 million received in 2021, 2) $30.0 million in cash received in 2021 in exchange for the convertible promissory note and 3) the estimated cost reimbursements for the Moderna RT program and Moderna DT program of $20.0 million. The Company constrained future milestones, as it assessed that it was probable that the inclusion of such variable consideration could result in a significant reversal of cumulative revenue in future periods. During the year ended December 31, 2021, the Company recorded $30.0 million of the contract consideration for the convertible promissory note based on the fair value and allocated the transaction price of $60.0 million to each of the following programs on a relative standalone selling price basis: 1) $49.5 million to the Moderna RT program, 2) $5.5 million to the Moderna DT program and 3) $5.0 million to the DT Co-Co program.</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variable consideration is reevaluated at each reporting period and as changes in circumstances occur. The Company recognized revenue for each of the Moderna RT program and Moderna DT program as collaboration revenue based on the measure of progress using an estimated cost-based input method each reporting period. The Company also amortized the allocation consideration for the DT Co-Co program of $5.0 million as a credit to research and development expenses during the discovery and lead optimization phases for the DT Co-Co program.</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Due to the Termination of the Moderna Agreement, the Company recognized the remaining deferred revenue of $15.9 million as revenue during the three and six months ended June 30, 2024. The final $5.0 million payment related to the fourth year of research costs was forfeited. The Company recognized collaboration revenue of $15.9 million and $18.7 million in the condensed consolidated statements of operations and comprehensive loss for the three and six months ended June 30, 2024, respectively, and $4.5 million and $8.9 million for the three and six months ended June 30, 2023, respectively, which was included in deferred revenue as of December 31, 2023 and 2022, respectively. The Company recorded no accounts receivable on the condensed consolidated balance sheets as of June 30, 2024 and $0.5 million as of December 31, 2023, related to services performed. As of June 30, 2024 and December 31, 2023, deferred revenue related to the Moderna Agreement was zero and $18.7 million, respectively. As of June 30, 2024, there were no remaining unsatisfied performance obligations.</w:t>
      </w:r>
    </w:p>
    <w:p>
      <w:pPr>
        <w:spacing w:after="0" w:line="19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recognized $0.3 million and $0.4 million in credits to research and development expenses related to the cost sharing allocation, respectively, and $0.1 million and $0.4 million in credits related to the amortization of the collaboration advance, respectively. During both the three and six months ended June 30, 2024, the Company recognized $0.1 million in credits related to the cost sharing allocation and $0.7 million in credits related to the amortization of the collaboration advance. As of June 30, 2024 and December 31, 2023, the collaboration advance balance was zero and $0.7 million, respectively, and the cost-sharing payable balance was zero and $0.1 million, which were presented as a collaboration advance on the Company’s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Affini-T development, option and license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agreement</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14, 2022, the Company entered into a Development, Option and License Agreement with Affini-T (the “Affini-T Agreement”). Pursuant to the Affini-T Agreement, the parties have agreed to identify, develop or optimize certain reagents using the Company’s proprietary technology for Affini-T to use such reagents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 joint steering committee was established by both parties to assign alliance managers and project leaders to oversee the collaboration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Affini-T Agreement, the Company granted Affini-T options to receive, on a pre-specified target-by-pre-specified</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target basis, for up to six pre-specified targets, either (i) an exclusive, royalty-bearing, sublicensable worldwide license under all of the Company’s applicable intellectual property to research, develop, manufacture, use, commercialize and otherwise exploit any TCR-based therapy, preventative treatment, or diagnostic for humans that is directed to such pre-specified target, contains or comprises Primary TCR alpha/beta T Cells and is derived from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application of a Company reagent (the “Exclusive Option”) or a non-exclusive, royalty-bearing, sublicensable worldwide license under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applicable intellectual property to research, develop, manufacture, use, commercialize and otherwise exploit any TCR-based therapy, preventative treatment, or diagnostic for humans that is directed to such pre-specified target, contains or comprises TCR natural killer (“NK”) cells derived from iPSC immune cells or TCR T cells derived from donor-derived or iPSC immune cells. Affini-T can exercise its options for either an exclusive license or a non-exclusive license, or both, for each pre-specified target by providing written notice prior to the earlier of (x) the end of the Affini-T Agreement term or (y) 90 days following the filing of an IND for a licensed product directed to a pre-specified target, subject to the payment of certain fees per each option exercised. After the option exercise, Affini-T has agreed to use commercially reasonable efforts to conduct all development and commercialization activities for a licensed product, and development and commercialization of all licensed products will be at Affini-T’s sole cost and expense.</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Affini-T Agreement, the Company received upfront equity consideration of 719,920 shares of Affini-T’s common stock with an estimated fair value of $1.3 million in June 2022. The fair value of Affini-T’s shares of common stock was estimated by management, considering the most recent third-party valuation at the time of grant. Affini-T has also agreed to reimburse the Company for expenses incurred while performing research activities under the research plans. As of June 30, 2024, the Company has received a total of $6.0 million from Affini-T related to reimbursable expenses. Additionally, the Company is eligible to receive (i) 933,650 shares of Affini-T’s common stock upon the achievement of a regulatory milestone, which is the earlier of a submission of a drug master file to the FDA or an acceptance of an IND filing for a licensed product by the FDA, (ii) up to $18.8 million in future developmental milestone payments depending on the completion of or the number of patients dosed in, the relevant human clinical trial, or the initiation of a pivotal trial, and $40.6 million in future regulatory approval milestone payments, which include regulatory approvals in the U.S. and other markets for licensed products directed to a pre-specified target if options for both exclusive and non-exclusive licenses are exercised with respect to such target, (iii) up to $250.0 million in sales-based milestones for aggregate sales of all licensed products directed to a given pre-specified target and (iv) royalties ranging from a low-single digit to high-single digit percentage of worldwide annual net sales of licensed products. On July 19, 2024, the Company received 933,650 shares of Affini-T common stock upon achievement of the regulatory milestone. See Note 12 for further discussion.</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initial term of the Affini-T Agreement is five years from the effective date. If Affini-T exercises an Exclusive Option with respect to any pre-specified target during the initial term, the initial term will be extended by an additional five years. Following the expiration of the extended term, if any, the agreement will continue on a target-by-target basis and expire with respect to such target upon the expiration of the royalty term for all licensed products directed to such target. The Affini-T Agreement may be terminated during the term by either party for an uncured material breach by, or bankruptcy of, the other party. Additionally, Affini-T may terminate the Affini-T Agreement for convenience, in its entirety, on a research plan-by-research plan basis, on a target-by-target basis or on a licensed product-by-licensed product basis, by providing prior written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concluded that the Affini-T Agreement is in the scope of ASC 606 and that there is one performance obligation to perform research activities under the Affini-T Agreement. Exclusive and non-exclusive licenses are optional contingent purchases that do not include significant incremental discounts, and therefore do not provide a material right.</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effective date, the transaction price consisted of the upfront equity consideration with an estimated fair value of $1.3 million and estimated research reimbursement costs. Research reimbursement costs represent variable consideration, and the Company’s management estimates what portion to include in total consideration at the end of each reporting period. Other payments under the Affini-T Agreement, including additional equity consideration and development and regulatory milestones, also represent variable consideration, and are constrained to the extent that the inclusion of such variable consideration could result in a significant reversal of cumulative revenue in future periods. As of June 30, 2024 and December 31, 2023, additional equity consideration and future development and regulatory milestone payments were excluded from the estimated total transaction price as they were considered constrained. The transaction price is reevaluated in each reporting period and as changes in circumstances occur. The Company recognizes revenue each reporting period based on the measure of progress using an estimated cost-based input method.</w:t>
      </w:r>
    </w:p>
    <w:p>
      <w:pPr>
        <w:spacing w:after="0" w:line="1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Company recognized collaboration revenue of $1.0 million and $1.3 million for the three and six months ended June 30, 2024, respectively, and $2.0 million and $2.6 million for the three and six months ended June 30, 2023, respectively. In June 2023, the joint steering committee approved the budget for estimated research reimbursement costs for the Affini-T Agreement, which resulted in a $2.4 million reduction to variable consideration. As of June 30, 2024 and December 31, 2023, the Company recorded $1.3 million and $2.0 million in accounts receivable on the condensed consolidated balance sheet, respectively, related to services performed. There was no contract asset related to services performed as of June 30, 2024 and December 31, 2023. As of June 30, 2024 and December 31, 2023, deferred revenue related to the Affini-T Agreement was $0.1 million and $0.2 million, respectively. The value of</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420"/>
        <w:spacing w:after="0" w:line="282" w:lineRule="auto"/>
        <w:rPr>
          <w:sz w:val="20"/>
          <w:szCs w:val="20"/>
          <w:color w:val="auto"/>
        </w:rPr>
      </w:pPr>
      <w:r>
        <w:rPr>
          <w:rFonts w:ascii="Times New Roman" w:cs="Times New Roman" w:eastAsia="Times New Roman" w:hAnsi="Times New Roman"/>
          <w:sz w:val="18"/>
          <w:szCs w:val="18"/>
          <w:color w:val="auto"/>
        </w:rPr>
        <w:t>the transaction price allocated to the remaining unsatisfied portion of the performance obligation was approximately $0.9 million as of June 30, 2024, which the Company expects to recognize as revenue over the next four-to-five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Ionis collaboration and license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agreement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10, 2022 the Company entered into a Collaboration and License Agreement with </w:t>
      </w:r>
      <w:r>
        <w:rPr>
          <w:rFonts w:ascii="Times New Roman" w:cs="Times New Roman" w:eastAsia="Times New Roman" w:hAnsi="Times New Roman"/>
          <w:sz w:val="18"/>
          <w:szCs w:val="18"/>
          <w:color w:val="231F20"/>
        </w:rPr>
        <w:t>Ionis Pharmaceuticals, Inc. (“</w:t>
      </w:r>
      <w:r>
        <w:rPr>
          <w:rFonts w:ascii="Times New Roman" w:cs="Times New Roman" w:eastAsia="Times New Roman" w:hAnsi="Times New Roman"/>
          <w:sz w:val="18"/>
          <w:szCs w:val="18"/>
          <w:color w:val="auto"/>
        </w:rPr>
        <w:t xml:space="preserve">Ionis”) (the “Ionis Agreement”) to collaborate on drug discovery and exploratory research activities to advance new medicines using gene editing strategies, with the goal of discovering novel medicines. Pursuant to the terms of the Ionis Agreement, the Company granted Ionis and its affiliates a worldwide exclusive, royalty-bearing license, with the right to grant sublicenses, to use all licensed systems and licensed products in the field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for all therapeutic, prophylactic, palliative, and analgesic uses in humans. In connection with the Ionis Agreement, the Company also has the right to exercise an exclusive option to co-develop and co-commercialize certain products under a drug discovery program. A joint steering committee was established by both parties to coordinate, oversee and monitor the research and drug discovery activities under the Ionis Agreement.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parties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the Company completes all of its activities under the applicable drug discovery plan and (ii) the seventh anniversary of the effective date, subject to the Company’s consent.</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parties will also conduct an exploratory research program, and will jointly optimize gRNA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the Company exercises the Co-Co Option for a particular drug discovery program, that drug discovery program will automatically be deemed a “Co-Co Program”, all corresponding licensed products be deemed “Co-Co Products,” the Company will be obligated to pay Ionis an option exercise fee, and the parties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the Company’s corresponding costs incurred. Future development and commercialization costs will be shared equally. The Company may elect to reduce its cost-share percentage anywhere between 50% and 25% on a go-forward basis, provided the Company will continue to bear 50% of the costs of any clinical trials ongoing at the time of the election through the completion of the clinical trials.</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will manufacture all licensed systems and certain components of the applicable licensed products that are needed by Ionis for use in its development activities and all of the Company’s manufactured components needed by Ionis for use in its commercialization activities. The Company will provide the manufactured components at a price that represents the cost of goods plus 15%.</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terms of the Ionis Agreement, the Company has also been granted an option to obtain a non-exclusive, royalty-bearing license, with the right to grant sublicenses, for certain Ionis’ background technology to use in up to eight therapeutic products discovered by the Company in the field of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gene editing and directed to a Collaboration Target (each such product, a “Metagenomi Product” and each such option an “Ionis IP Option”),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encumbrance checks with respect to particular targets. A Collaboration Target is a target that is selected by Ionis, and, with respect to the Company is not the subject of discussions with a third party, is not the subject of a contractual grant of rights to a third party nor the subject to an internal research and development program. If the Company exercises its Ionis IP Option, the Company will pay to Ionis up to several million dollars per Metagenomi Product upon achievement of certain clinical and regulatory milestones. The Company is also obligated to pay Ionis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ind w:right="300"/>
        <w:spacing w:after="0" w:line="282" w:lineRule="auto"/>
        <w:rPr>
          <w:sz w:val="20"/>
          <w:szCs w:val="20"/>
          <w:color w:val="auto"/>
        </w:rPr>
      </w:pPr>
      <w:r>
        <w:rPr>
          <w:rFonts w:ascii="Times New Roman" w:cs="Times New Roman" w:eastAsia="Times New Roman" w:hAnsi="Times New Roman"/>
          <w:sz w:val="18"/>
          <w:szCs w:val="18"/>
          <w:color w:val="auto"/>
        </w:rPr>
        <w:t>royalties in an amount equal to a low single-digit royalty on the net sales of the applicable Metagenomi Product on product-by-product and country-by-country basis.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2022, the Company received an $80.0 million upfront payment from Ionis for the Wave 1 drug discovery research collaboration and selected Target 1. Ionis selected its second target (“Target 2”) in Wave 1 in December 2022, its third target (“Target 3”) in Wave 1 in November 2023, and its fourth target (“Target 4”) in Wave 1 in February 2024.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Ionis is obligated to reimburse the Company for all internal costs and out-of-pocket costs incurred in the performance of the exploratory research activities, up to an aggregate of $10.0 million, which is payable in quarterly installments of $0.5 million during the exploratory research term. As of June 30, 2024, the Company received a total of $3.0 million related to the reimbursable expenses. The Company is also eligible to 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term of the Ionis Agreement will continue (i) with respect to the drug discovery programs, until the expiration of all applicable royalty terms for a licensed product, (ii) with respect to the Co-Co Programs, until the parties cease all exploitation for the Co-Co Products that are the subject to such Co-Co Program, and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canceled, withdrawn, held invalid, or abandoned, or (ii) 12 years following the first commercial sale of a licensed product.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concluded that the Ionis Agreement is in the scope of ASC 606 at the effective date and until the Company exercises its Co-Co Option for any drug discovery program, which was determined to not be probable at the effective date and as of June 30, 2024 and December 31, 2023. The Company also concluded that exclusive licenses and participation in a joint steering committee are not distinct from discovery research services and should thus be combined into one performance obligation (the “discovery program”). The Company also concluded that exploratory research services are a separate and distinct performance obligation (the “exploratory program”). The Ionis options for Wave 2 targets are optional purchases and do not have significant incremental discounts, as such, the options do not provide material rights.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allocated the total estimated transaction price of $90.0 million, which consisted of an $80.0 million upfront payment received in November 2022 and $10.0 million in reimbursements for research costs, into two performance obligations, which was determined based on their estimated standalone selling prices. The Company concluded that future development and commercial supply agreements are at market terms, as the terms were consistent with industry standards as of the effective date. The Company constrains future milestone payments under the arrangement to the extent that the inclusion of such variable consideration could result in a significant reversal of cumulative revenue in future periods. The Company constrained all development and regulatory milestone payments at the effective date and as of June 30, 2024 and December 31, 2023. The Company is recognizing revenue of $80.0 million related to the discovery program and $10.0 million related to exploratory program over the research terms using an estimated cost-based input method as a measure of progress for each obligation.</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2024, the Company included previously constrained estimated manufacturing costs in the transaction price, resulting in a $3.4 million increase to variable consideration. The Company recognized collaboration revenue of $3.1 million and $11.1 million for the three and six months ended June 30, 2024, respectively, of which $2.8 million and $10.8 million, respectively, was included in deferred revenue as of December 31, 2023. The Company recognized collaboration revenue of $4.8 million and $8.5 million for the three and six months ended June 30, 2023, respectively, which was included in deferred revenue as of December 31, 2022 for both periods. As of June 30, 2024 and December 31, 2023, deferred revenue related to the Ionis Agreement was $50.2 million and $60.0 million, respectively. The value of the transaction price allocated to the remaining performance obligations was approximately $60.2 million as of June 30, 2024, which the Company expects to recognize as revenue over the next four years.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more information about the Company’s Operating Leases, see “Note 8. Commitments and Contingencies – Operating Leases” of the “Notes to Consolidated Financial Statements” included in Part II, Item 8 of its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June 30, 2024 and December 31, 2023, the Company did not have any material indemnification claims that were probable or reasonably possible and consequently has not recorded related liabilities.</w:t>
      </w:r>
    </w:p>
    <w:p>
      <w:pPr>
        <w:spacing w:after="0" w:line="29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On December 20, 2022, the Company entered into a Series B-1 redeemable convertible preferred unit purchase agreement to sell up to 7,108,480 shares of Series B-1 redeemable convertible preferred units (“Series B-1”) at the purchase price of $14.07. In December 2022, the Company sold and issued 6,773,726 Series B-1 shares for gross cash proceeds of $95.3 million in the initial closing and incurred $0.4 million issuance costs. In January 2023, the Company sold an additional 334,751 Series B-1 shares and received gross cash proceeds of $4.7 million and incurred $0.1 million in issuance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redeemable convertible preferred stock as of December 31, 2023, consisted of the following (in thousands, except unit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7,501,002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7,501,002</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774,473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1,513,860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1,513,860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8,280,360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8,280,360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1,580,937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1,580,937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15,054,263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15,054,263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B-1</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7,108,480</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7,108,480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41,813,375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41,813,375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352,044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On January 24, 2024, in connection with the Reorganization, all outstanding redeemable convertible preferred units were converted into an equal number of shares of redeemable convertible preferred stock. Immediately prior to the closing of the IPO, all of the then-outstanding shares of redeemable convertible preferred stock converted into 23,935,594 shares of common stock</w:t>
      </w:r>
      <w:r>
        <w:rPr>
          <w:rFonts w:ascii="Times New Roman" w:cs="Times New Roman" w:eastAsia="Times New Roman" w:hAnsi="Times New Roman"/>
          <w:sz w:val="18"/>
          <w:szCs w:val="18"/>
          <w:color w:val="000000"/>
        </w:rPr>
        <w:t>.</w:t>
      </w:r>
    </w:p>
    <w:p>
      <w:pPr>
        <w:spacing w:after="0" w:line="280"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 Plan</w:t>
      </w:r>
    </w:p>
    <w:p>
      <w:pPr>
        <w:spacing w:after="0" w:line="11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Prior to the Reorganization, the Company granted profits interests under the 2019 Equity Incentive Plan, adopted on March 13, 2019 (the “2019 Plan”). The Company granted profits interests with a threshold amount established by the Board of Managers on the date of issuance. The 2019 Plan allows for grants of profits interests to the Company’s officers, employees, directors and consultants.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LLC Agreement provides each profits interest with a distribution threshold amount, which is determined on the date of issuance and represents the amount that would be distributed if, immediately after issuance, the Company sold all of its assets at fair market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180"/>
        <w:spacing w:after="0" w:line="261" w:lineRule="auto"/>
        <w:rPr>
          <w:sz w:val="20"/>
          <w:szCs w:val="20"/>
          <w:color w:val="auto"/>
        </w:rPr>
      </w:pPr>
      <w:r>
        <w:rPr>
          <w:rFonts w:ascii="Times New Roman" w:cs="Times New Roman" w:eastAsia="Times New Roman" w:hAnsi="Times New Roman"/>
          <w:sz w:val="18"/>
          <w:szCs w:val="18"/>
          <w:color w:val="auto"/>
        </w:rPr>
        <w:t>value and distributed the net proceeds in liquidation. A profits interest does not participate in Company distributions until an amount equal to its distribution threshold amount has been distributed to other members of the Company with units that either have a lower threshold amount or no threshold amount. The Company’s LLC Agreement was amended on July 31, 2023 to provide for “catch-up” distributions for profits interests once the applicable catch-up threshold amount for such profits interests was met (the “Amendment to the LLC Agreement”).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accordance with the Amendment to the LLC Agreement, once the applicable distribution threshold amount has been met for a particular profits interest, such profits interest will participate in Company distributions on a pro rata basis until the catch-up threshold amount has been met. Once the catch-up threshold amount has been met, subsequent “catch-up” distributions will be made solely to holders of profits interests until such holders have received an amount equal to the amount such holders would have received had the distribution threshold not existed. Once the profits interest holders have received distributions in an amount equal to what they would have received had the distribution threshold not existed, all subsequent distributions are made on a pro rata basis with common unitholders. As a result of the Amendment to the LLC Agreement, the Board approved an $11.84 catch-up threshold amount, which was based on the estimated fair value of the Company’s common unit as of July 31, 2023.</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After giving the effect to the Amendment to the LLC Agreement, the grant date fair value of profits interests issued after July 31, 2023 and profits interests at the modification date was estimated using the valuation model based on the Probability Weighted Expected Return Method (“PWERM”). The estimated equity fair value was allocated via the distribution waterfall in accordance with the Amendment to the LLC Agreement to all outstanding redeemable convertible preferred units, common units and profits interests.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PWERM is the hybrid method, where the equity value in one or more scenarios is calculated using an option pricing model. The PWERM is a scenario based methodology that estimates the fair value of common unit based upon an analysis of future values for the company, assuming various outcomes. The common unit value is based on the probability-weighted present value of expected future investment returns considering each of the possible outcomes available as well as the rights of each class of members’ units. The future value of the common unit under each outcome is discounted back to the valuation date at an appropriate risk-adjusted discount rate and probability weighted to arrive at an indication of value for the common unit. A discount for lack of marketability of the common unit is then applied to arrive at an indication of value for the common unit.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part of the catch-up and Amendment to the LLC Agreement, the Company modified the terms and conditions of the profits interest, which resulted in a change in the fair value of the awards. The change was treated as a modification under ASC 718, Stock Compensation, in which the fair value of the profits interests was remeasured at the modification date and compared to the fair value of the modified award immediately prior to the modification, with the difference resulting in incremental compensation expense. The Company estimated total modification expense of $10.3 million.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part of the Reorganization, 282,660 profits interest units were canceled without a concurrent grant of a replacement award and were accounted for as a repurchase for no consideration and accordingly previously unrecognized compensation of $3.0 million was recognized at the cancelation date.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Immediately after the Reorganization, all of the outstanding 9,142,176 profits interest units were exchanged for 3,884,870 shares of common stock, of which 1,036,833 were subject to certain vesting conditions. The table below presents a summary of profits interests units activity: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Profits</w:t>
            </w:r>
          </w:p>
        </w:tc>
        <w:tc>
          <w:tcPr>
            <w:tcW w:w="1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Amount</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9,488,776</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 and expired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(63,940 )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Canceled in connection with the Reorganization</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(282,660 )</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Exchanged for vested and unvested common stock in connection with the Reorganization</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(9,142,176 )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7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-908050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-890905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presents a summary of the unvested common stock activity for the six months ended June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40" w:type="dxa"/>
            <w:vAlign w:val="bottom"/>
          </w:tcPr>
          <w:p>
            <w:pPr>
              <w:spacing w:after="0"/>
              <w:rPr>
                <w:sz w:val="12"/>
                <w:szCs w:val="12"/>
                <w:color w:val="auto"/>
              </w:rPr>
            </w:pPr>
          </w:p>
        </w:tc>
        <w:tc>
          <w:tcPr>
            <w:tcW w:w="16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Exchange of profits interests units for unvested common stock</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1,036,833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(254,558 )</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(15,066 )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767,209</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60" w:type="dxa"/>
            <w:vAlign w:val="bottom"/>
            <w:tcBorders>
              <w:bottom w:val="single" w:sz="8" w:color="auto"/>
            </w:tcBorders>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-136525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Weighted-average grant date fair value includes amount related to the modification as a result of the catch-up and Amendment to the LLC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and Incentive Plan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In January 2024, the board of directors adopted and the stockholders approved the 2024 Stock Option and Incentive Plan (“2024 Plan”), which became effective immediately prior to the closing of the IPO. The 2024 Plan allows the Company to make equity-based and cash-based incentive awards to its officers, employees, directors, and consultants. The 2024 Plan provides for the grant of incentive stock options, non-qualified stock options, restricted stock units, restricted stock awards, and other stock-based awards.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The Company initially reserved 6,690,000 shares of common stock for future issuance under the 2024 Plan. The number of shares of common stock reserved and available for issuance under the 2024 Plan will automatically increase on each January 1, commencing on January 1, 2025 and through 2034, by five percent of the number of shares of the Company’s common stock issued and outstanding on the immediately preceding December 31, or such lesser number of shares as determined by the Company’s compensation committee.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Awards granted under the 2024 Plan expire no later than ten years from the date of grant. For the Incentive Stock Options and Non-Qualified Stock Options, the option price shall not be less than 100% of the estimated fair value on the date of grant. Options and restricted stock units typically vest over a four-year time period but may be granted with different vesting terms. As of June 30, 2024, there were 2,681,499 shares available for future issuance under the 2024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Stock Option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stock option activity for the six months ended June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3"/>
                <w:szCs w:val="13"/>
                <w:color w:val="auto"/>
              </w:rPr>
            </w:pPr>
          </w:p>
        </w:tc>
        <w:tc>
          <w:tcPr>
            <w:tcW w:w="16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3,567,976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(57,965 )</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3,510,011</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Restricted Stock Unit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restricted stock unit activity for the six months ended June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498,490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498,490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In January 2024, the board of directors adopted and the stockholders approved the 2024 Employee Stock Purchase Plan (“ESPP”), which become effective upon the date immediately preceding the date on which the Company’s registration statement was declared effective by the SEC. The Company initially reserved 375,000 shares of common stock for future issuance under the ESPP. The number of shares of common stock reserved and available for issuance under the ESPP will automatically increase on each January 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220"/>
        <w:spacing w:after="0" w:line="266" w:lineRule="auto"/>
        <w:rPr>
          <w:sz w:val="20"/>
          <w:szCs w:val="20"/>
          <w:color w:val="auto"/>
        </w:rPr>
      </w:pPr>
      <w:r>
        <w:rPr>
          <w:rFonts w:ascii="Times New Roman" w:cs="Times New Roman" w:eastAsia="Times New Roman" w:hAnsi="Times New Roman"/>
          <w:sz w:val="18"/>
          <w:szCs w:val="18"/>
          <w:color w:val="231F20"/>
        </w:rPr>
        <w:t>commencing on January 1, 2025 and through 2034, by the least of (i) 750,000 shares of common stock; (ii) one percent of the number of shares of the Company’s common stock issued and outstanding on the immediately preceding December 31, or (iii) such lesser number of shares as determined by the Company’s compensation committee.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Under the ESPP, employees, subject to certain restrictions, may purchase shares of common stock at 85% of the fair market value at either the first business day or the last business day of the offering period, whichever is lower. Purchases are limited to the lesser of 15% of each employee’s eligible annual compensation or $25,000. As of June 30, 2024, the Company has issued no shares under the ESPP as the first offering period has not begun. As of June 30, 2024, there were 375,000 shares available for issuance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share-based compensation expense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2,304</w:t>
            </w:r>
          </w:p>
        </w:tc>
        <w:tc>
          <w:tcPr>
            <w:tcW w:w="10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2,208</w:t>
            </w: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4,512</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2024, there was $16.0 million of unrecognized compensation expense (including modification expense related to the catch-up) related to restricted stock awards that is expected to be recognized over a weighted-average period of 2.4 years, $24.6 million of unrecognized compensation expense related to stock options that is expected to be recognized over a weighted-average period of 3.5 years and $5.0 million of unrecognized compensation expense related to restricted stock units that is expected to be recognized over a weighted-average period of 3.7 years.</w:t>
      </w:r>
    </w:p>
    <w:p>
      <w:pPr>
        <w:spacing w:after="0" w:line="284"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Basic and diluted net loss per share attributable to common stockholders is calculated as follows (in thousands except share and per share amounts):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59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(13,008 )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(35,887 )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(29,141 )</w:t>
            </w:r>
          </w:p>
        </w:tc>
      </w:tr>
      <w:tr>
        <w:trPr>
          <w:trHeight w:val="20"/>
        </w:trPr>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37,462,788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3,404,585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29,657,249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3,404,585</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Weighted-average unvested shares of common stock</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(837,497 )</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(755,850 )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36,625,291</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3,404,585</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28,901,399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3,404,585</w:t>
            </w:r>
          </w:p>
        </w:tc>
        <w:tc>
          <w:tcPr>
            <w:tcW w:w="100" w:type="dxa"/>
            <w:vAlign w:val="bottom"/>
            <w:tcBorders>
              <w:top w:val="single" w:sz="8" w:color="CFF0FC"/>
            </w:tcBorders>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(8.56 )</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-367665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-367665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-367665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following outstanding potentially dilutive securities have been excluded from the calculation of diluted net loss per share, as their effect would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4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r>
      <w:tr>
        <w:trPr>
          <w:trHeight w:val="169"/>
        </w:trPr>
        <w:tc>
          <w:tcPr>
            <w:tcW w:w="780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issuable upon conversion of redeemable convertible preferred stock</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23,935,594</w:t>
            </w:r>
          </w:p>
        </w:tc>
        <w:tc>
          <w:tcPr>
            <w:tcW w:w="100" w:type="dxa"/>
            <w:vAlign w:val="bottom"/>
            <w:shd w:val="clear" w:color="auto" w:fill="CFF0FC"/>
          </w:tcPr>
          <w:p>
            <w:pPr>
              <w:spacing w:after="0"/>
              <w:rPr>
                <w:sz w:val="20"/>
                <w:szCs w:val="20"/>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issuable upon settlement of profits interests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3,964,693</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subject to future vesting</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767,209</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3,510,011</w:t>
            </w:r>
          </w:p>
        </w:tc>
        <w:tc>
          <w:tcPr>
            <w:tcW w:w="22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498,490</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4,775,710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27,900,287</w:t>
            </w:r>
          </w:p>
        </w:tc>
        <w:tc>
          <w:tcPr>
            <w:tcW w:w="100" w:type="dxa"/>
            <w:vAlign w:val="bottom"/>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July 19, 2024, pursuant to the terms of the Affini-T Agreement, the Company received equity consideration of 933,650 shares of Affini-T common stock upon the achievement of a regulatory milestone related to the submission of drug master files to the FDA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support of an IND for Affini-T’s T-cell receptor-based therapy. The estimated fair value of these Affini-T shares is $4.0 million using an option-pricing valuation model (see Note 3).</w:t>
      </w:r>
    </w:p>
    <w:p>
      <w:pPr>
        <w:spacing w:after="0" w:line="1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93" w:right="6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2023, filed with the SEC on March 27, 2024. As discussed in the section titled “Special Note Regarding Forward-Looking Statements,” the following discussion and analysis contains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under Part II, Item 1A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precision genetic medicines company committed to developing curative therapeutics for patients using our proprietary, comprehensive metagenomics-derived genome editing toolbox. We are harnessing the power of metagenomics, the study of genetic material recovered from the natural environment, to unlock four billion years of microbial evolution to discover and develop a suite of novel editing tools capable of correcting any type of genetic mutation found anywhere in the genome. Our platform combines AI and proprietary algorithms run on expansive cloud computing infrastructure to screen for novel clustered regularly interspaced short palindromic repeat (“CRISPR”) nucleases and other effector enzymes at high speed.</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comprehensive genome editing toolbox includes programmable nucleases, base editors, RNA-mediated integration systems (“RIGS”) for small corrections (“prime editing”) as well as for larger integrations, and CRISPR-associated transposases (“CASTs”) for doing large integrations with DNA. These tools form a toolbox that can potentially make any desired gene modification – gene knock-down, gene knock-in as well as small and large genetic changes. In addition to overcoming the activity, targetability, and specificity limitations of first-generation systems, our toolbox includes ultra small editing systems, designed to have broad compatibility with viral and nonviral delivery technologies, to address the full spectrum of genetic medicine for hepatic-and extrahepatic therapeutic indications. All elements of our toolbox are wholly owned, and we have constructed a broad patent estate that protects our intellectual property. We anticipate that our toolbox will continue to expand as we discover, interrogate, and optimize our novel editing systems.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taking a stepwise approach deploying our genome editing toolbox to develop potentially curative therapies for patients. Our lead programs are selected to both address important diseases and to establish new standards in targetability, precision, efficiency, and scope of editing capabilities. Each of these indications was chosen based on our conviction in the underlying disease biology, existence of validating preclinical and clinical data, availability of pharmacodynamic and translational tools to assess early proof-of-concept, relevant value supporting outcome measures, and ongoing clinical unmet need. While we do not currently have any approved products and all of our product candidates are preclinical, our lead programs capture an ever-growing set of translational learnings and insights that will inform and potentially accelerate future therapeutic programs. Ultimately, we intend to prosecute a genetic medicine therapeutic development strategy across a broad array of diseases and target organs including liver, central nervous system, muscle, kidney, and lung.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Therapeutic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Hemophilia A</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investigational development program in hemophilia A is a potentially curative therapy designed to provide life-long protection from bleeding events and joint damage in adults and children.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program is designed to insert a Factor VIII (“FVIII”) DNA cassette into a “safe harbor location,” within an intron of the albumin gene that is not expected to have deleterious effects. FVIII expression is then driven off the strength of the native albumin promoter. Our lead hemophilia A genome editing strategy has two components. A lipid nanoparticle (“LNP”) is designed to deliver mRNA along with a gRNA to the liver in order to produce a highly efficient and specific nuclease that creates a precise cut at the albumin safe harbor gene locus. Additionally, an adeno-associated virus (“AAV”) vector that is designed to deliver the donor template FVIII DNA that becomes inserted into the nuclease cut site by a naturally occurring DNA repair process called non-homologous end joining.</w:t>
      </w:r>
    </w:p>
    <w:p>
      <w:pPr>
        <w:spacing w:after="0" w:line="18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an ongoing non-human primate (“NHP”) study, we demonstrated integration of a surrogate cynomolgus-FVIII cassette (used to avoid immune response that would occur with a foreign human FVIII protein) and observed therapeutically relevant levels of the cyno-FVIII protein in all 3 treated animals that was extended for 4.5 months. We presented this data in a late breaking session at the World Federation of Hemophilia World Congress, in April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ind w:right="20"/>
        <w:spacing w:after="0" w:line="266" w:lineRule="auto"/>
        <w:rPr>
          <w:sz w:val="20"/>
          <w:szCs w:val="20"/>
          <w:color w:val="auto"/>
        </w:rPr>
      </w:pPr>
      <w:r>
        <w:rPr>
          <w:rFonts w:ascii="Times New Roman" w:cs="Times New Roman" w:eastAsia="Times New Roman" w:hAnsi="Times New Roman"/>
          <w:sz w:val="18"/>
          <w:szCs w:val="18"/>
          <w:color w:val="auto"/>
        </w:rPr>
        <w:t>Following our meeting with the FDA to align on key aspects of our planned IND submission, in August 2024, we nominated a lead development candidate, MGX-001. We plan to present 12-month durability data for FVIII expression in our ongoing NHP study in September 2024. In parallel, we are initiating current good manufacturing practices manufacturing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Ionis Collaboration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All four therapeutic targets in Wave 1 of our collaboration with Ionis Pharmaceuticals, Inc. (“Ionis”) focus on high value cardiometabolic diseases and are advancing in lead optimization, including transthyretin amyloidosis which targets TTR and refractory hypertension which targets angiotensinogen (“AGT”). Following selection of the remaining Wave 1 targets in the Ionis collaboration in the first quarter of 2024, all four therapeutic programs successfully advanced into the lead optimization phase in the second quarter of 2024. Along with our partner Ionis, we are conducting preclinical activities with the aim of demonstrating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proof-of-concept in 2024, advancing NHP studies and unlocking potential for one to two development candidate nominations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Transthyretin Amyloidosis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Transthyretin amyloidosis is a disease of misfolded and aggregated transthyretin (“TTR”) protein that can deposit in tissues causing organ dysfunction, primarily in the heart and/or peripheral nerves. Our development program in TTR aims to provide efficient TTR knockdown and halt further deposition of amyloid fibrils. Along with our partner Ionis, we have achieved more than 90% knock-down of human TTR protein in a humanized TTR mouse model, and have initiated NHP studies.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Refractory Hypertension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refractory hypertension program is designed to knock-down the expression of AGT in the liver using one of our programmable nucleases to generate a durable reduction in blood pressure from a single treatment. Along with our partner Ionis, we have achieved greater than 85% knock-down of human AGT protein in a humanized AGT mouse model, and have plans to initiate NHP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Nucleases</w:t>
      </w:r>
    </w:p>
    <w:p>
      <w:pPr>
        <w:spacing w:after="0" w:line="119"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To date, we have identified thousands of novel CRISPR type II, type V and highly efficient ultra-small (SMall Arginine-Rich sysTems or SMART) nucleases, expanding the collection of known programmable nucleases by mining our proprietary metagenomics database. This allows us to potentially select the ideal nuclease for targeting any given gene in a site-specific manner, overcoming a major limitation of first-generation CRISPR/Cas9 systems.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 small (SMART) systems</w:t>
      </w:r>
    </w:p>
    <w:p>
      <w:pPr>
        <w:spacing w:after="0" w:line="11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The ability to package our systems into a single AAV will enable more efficient targeting of organs and diseases beyond what is currently possible with LNP delivery. For example, at 429 aa in length, one of our SMART nucleases is a fraction of the size of the industry-standard SpCas9 system, which is 1,300 aa and exceeds the delivery capacity of standard AAV vectors. We recently achieved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for an undisclosed neuromuscular target with one of our compact editing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Editors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chassis of our nucleases can be leveraged by adding on additional effector enzymes to create base editors capable of single nucleotide changes in the genome. We showed that by using PAM interacting domain engineering, we expanded the genome targetability of our base editors by 5-fold compared to SpCas9 base editors. We recently achieved multiplex base editing proof-of-concept and plan to present this data at a scientific conference in the second half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RNA-mediated Integration Systems (RIGS)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RIGS are the systems we use for small genomic replacements such as transversions, transitions, insertions, and deletions, as well as the programmable integration of large transgenes delivered as RNA, with the potential to address any genetic disease requiring a large gene integration.</w:t>
      </w:r>
    </w:p>
    <w:p>
      <w:pPr>
        <w:spacing w:after="0" w:line="1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We recently achieved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using our RIGS for a small gene correction in undisclosed liver targets. Additionally, using proprietary reverse transcriptases we demonstrated what we believe to be the first-ever targeted integration of &gt;900 bp in human cells with our RIGS using all-RNA delivery. We consider this to be a major step forward in the gene editing space, as these systems could be delivered entirely as RNA, compatible with current LNP delivery technologies, and could enable large, targeted exogenous gene integrations.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DNA-mediated Integrations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 xml:space="preserve">CASTs are naturally occurring programmable transposase systems with the ability to site-specifically integrate large transgenes delivered as DNA, and with the potential to address any genetic disease requiring a large gene integration. Our CASTs are being developed in order to enable large, &gt;10,000 base pairs, targeted genomic integrations for therapeutic applications. We recently achieved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for large gene integration using our potentially industry leading, compact CAST technology, with publication pending.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Updates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0D1F1B"/>
        </w:rPr>
        <w:t>As a result of the acceleration of all four Wave 1 Ionis targets into lead optimization, as well as our decision to deprioritize PH1, we are revising to provide pipeline guidance only through year-end 2025, including the next one to two DC nominations in 2025. We are maintaining our guidance for the planned IND filing for hemophilia A in 2026.</w:t>
      </w:r>
    </w:p>
    <w:p>
      <w:pPr>
        <w:spacing w:after="0" w:line="17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We are focusing our internal efforts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therapeutic approaches and pursue technology out-licensing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where next generation gene editing systems are an important enabler of novel therapies.</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Going forward, we are not going to pursue amyotrophic lateral sclerosis (ALS) based upon recent peer company clinical data regarding the lack of efficacy of Ataxin-2 as a therapeutic target for ALS.</w:t>
      </w:r>
    </w:p>
    <w:p>
      <w:pPr>
        <w:spacing w:after="0" w:line="16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We have revised our pipeline design to consolidate earlier stage programs and make it easier to identify our near term pipeline priorities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and liver indications.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Affini-T Collaboration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19, 2024, pursuant to the terms of the Affini-T Agreement, we received equity consideration of 933,650 shares of Affini-T common stock, estimated at a fair value of $4.0 million, upon the achievement of a regulatory milestone related to the submission of drug master files to FDA in support of an IND for Affini-T’s T-cell receptor based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Moderna Agreement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26, 2024 (the “Termination Date”), we and ModernaTx, Inc. (“Moderna”) mutually terminated the Strategic Collaboration and License Agreement, dated October 29, 2021 (the “Moderna Agreement”), by and between us and Moderna. The Moderna Agreement was terminated pursuant to a Mutual Termination Agreement (the “Termination Agreement”), dated as of April 26, 2024, by and between us and Moderna. Pursuant to the Termination Agreement, we regained full development and commercialization rights to our wholly-owned base editing and RIGS technologies that were subject to the Moderna Agreement. Effective as of the Termination Date, the Moderna Agreement was terminated in its entirety and the rights and licenses granted by us to Moderna terminated in all respects. We are not entitled to receive any future payments from Moderna pursuant to the Termination Agreement or Moderna Agreement.</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a result of the termination of the Moderna Agreement, we also regained full rights to our Primary Hyperoxaluria Type 1 (“PH1”) program. We have decided to look for a partner or licensee for further development of PH1. Previously disclosed data achieved preclinical proof-of-concept in an accepted disease model of PH1.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and Reverse Stock Split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previously operated as a Delaware limited liability company under the name Metagenomi Technologies, LLC (“Metagenomi LLC”). On January 24, 2024, we completed a series of transactions pursuant to which Metagenomi LLC merged with and into its wholly-owned subsidiary Metagenomi, Inc., a Delaware corporation, with Metagenomi, Inc. (“Metagenomi” or the “Company”) continuing as the surviving corporation (the “Reorganization”). In connection with the Reorganization, (i) all of the outstanding common unitholders of Metagenomi LLC received shares of common stock of Metagenomi, Inc., (ii) all of the outstanding redeemable convertible preferred unitholders of Metagenomi LLC received shares of redeemable convertible preferred stock of Metagenomi, Inc. with the same rights and privileges and (iii) certain holders of profits interests in Metagenomi LLC received shares of common stock or unvested restricted common stock in Metagenomi, Inc. as determined by the applicable provisions of the Amended and Restated Limited Liability Company Agreement in effect immediately prior to the Reorganization. In connection with the Reorganization, by operation of law, Metagenomi, Inc. acquired all assets of Metagenomi LLC, and assumed all of its liabilities and obligations. The Reorganization generally did not result in a taxable event to Metagenomi, Inc. for U.S. income tax purposes.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On January 26, 2024, following the Reorganization, Metagenomi, Inc. effected a reverse stock split </w:t>
      </w:r>
      <w:r>
        <w:rPr>
          <w:rFonts w:ascii="Times New Roman" w:cs="Times New Roman" w:eastAsia="Times New Roman" w:hAnsi="Times New Roman"/>
          <w:sz w:val="18"/>
          <w:szCs w:val="18"/>
          <w:color w:val="000000"/>
        </w:rPr>
        <w:t>of the shares of common stock at a ratio of 1-for-</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1.74692 (the “Reverse Stock Split”). Immediately prior to the closing of the IPO, each share of Metagenomi, Inc.’s redeemable convertible preferred stock then outstanding converted into 23,935,594 shares of common stock</w:t>
      </w:r>
      <w:r>
        <w:rPr>
          <w:rFonts w:ascii="Times New Roman" w:cs="Times New Roman" w:eastAsia="Times New Roman" w:hAnsi="Times New Roman"/>
          <w:sz w:val="18"/>
          <w:szCs w:val="18"/>
          <w:color w:val="231F20"/>
        </w:rPr>
        <w: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February 13, 2024, we completed our initial public offering (“IPO”) in which we issued 6,250,000 shares of our common stock at a price to the public of $15.00 per share. We received net proceeds of approximately $80.7 million, after deducting underwriting discounts and commissions and other offering costs totaling approximately $13.0 million.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planning, raising capital, research and development activities, building our intellectual property portfolio and providing general and administrative support for these operations. We have historically financed our operations primarily through issuing redeemable convertible preferred stock and convertible promissory notes, sales of our common stock and entering into collaboration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Trends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and abroad may negatively affect the growth of our business and our results of operations. For example, macroeconomic events, including, rising inflation, tensions in U.S.-China relations, the COVID-19 pandemic, the U.S. Federal Reserve raising interest rates, recent and potential future disruptions in access to bank deposits and lending commitments due to bank failures and the effects of the ongoing geopolitical conflict in Ukraine and the Israel-Hamas war, have led to economic uncertainty and volatility globally. The effect of macroeconomic conditions may not be fully reflected in our results of operations until future periods.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 For further discussion of the potential impacts of macroeconomic events on our business, financial condition, and operating results, refer to the section titled “Risk Factors” included elsewhere in this Quarterly Report on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part of our strategy, we have entered into collaborations with third parties for one or more of our programs or product candidates we may develop. For example, in June 2022, we entered into a Development, Option and License Agreement with Affini-T Therapeutics, Inc. (“Affini-T”) (the “Affini-T Agreement”)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to research, develop and commercialize investigational medicines using genome editing technologies. In October 2021, we entered into the Moderna Agreement with Moderna, focused on advancing new genome editing system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human therapeutic applications, and in April 2024, we and Moderna mutually terminated the Moderna Agreement. Refer to Note 7 in our condensed consolidated financial statements included elsewhere in this Quarterly Report on Form 10-Q for additional information related to the terms of the agreements between us and our collaborators and Note 12 in our condensed consolidated financial statements included elsewhere in this Quarterly Report on Form 10-Q for additional information related to the termination of the Moderna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date, all of our revenue consists of collaboration revenue, earned from collaboration agreements with Moderna (prior to the termination of the Moderna Agreement), Ionis and Affini-T. These agreements may include the following types of promised goods or services: (i) grants of licenses; (ii) performance of research and development services and (iii) participation on joint research and/or development committees. They also may include options to obtain licenses to our intellectual property or to extend the term of the research activities. Our revenues under such collaboration agreements were $20.0 million and $31.2 million for the three and six months ended June 30, 2024, respectively, and $11.3 million and $20.0 million for the three and six months ended June 30, 2023, respectively.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right="50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related to our collaboration agreements, refer to Note 2 in our consolidated financial statements included in Part II, Item 8 of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largest component of our total operating expenses since our inception has been research and development activities. Research and development expenses consist primarily of compensation and benefits for research and development employees, including stock-based compensation; the costs of acquiring research and development supplies and services; manufacturing process development costs; the research and development expenses that we share with our collaboration partners for co-development programs; other outside services and consulting costs; and allocated facilities, information technology and overhead expenses. Research and development costs are expensed as incurred.</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not reported program costs since our inception because we have not historically tracked or recorded our research and development expenses on a program-by-program basis. We use our personnel and infrastructure resources across the breadth of our research and development activities, which are directed toward developing our platform.</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platform, including investments in manufacturing, as we advance our programs and conduct clinical trials. The process of conducting the necessary clinical research to obtain regulatory approval is costly and time-consuming, and the successful development of our platform is highly uncertain. As a result, we are unable to determine the duration and completion costs of our research and development projects, the costs of related clinical development costs or when and to what extent we will generate revenue from the commercialization of our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stock-based compensation expense and other expenses for outside professional services, including legal fees relating to intellectual property and corporate matters; professional fees for accounting, auditing, consulting and tax services; insurance costs; administrative travel expenses; website development costs; marketing and public relations costs; and facilities, information technology and other allocated overhead costs.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platform and our continued research activities. We also anticipate that we will incur increased accounting, audit, legal, regulatory, compliance and director and officer insurance costs as well as investor and public relations expenses associated with being a public company. We also expect our intellectual property expenses to increase as we expand our intellectual property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Total other income, net, includes interest income from our investments in available-for-sale marketable securities and changes in the fair value of our investment in Affini-T.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Comparison of the Three and Six Months Ended June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our results of operations for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shd w:val="clear" w:color="auto" w:fill="CFF0FC"/>
          </w:tcPr>
          <w:p>
            <w:pPr>
              <w:spacing w:after="0"/>
              <w:rPr>
                <w:sz w:val="21"/>
                <w:szCs w:val="2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20"/>
                <w:szCs w:val="20"/>
                <w:color w:val="auto"/>
              </w:rPr>
            </w:pPr>
          </w:p>
        </w:tc>
      </w:tr>
      <w:tr>
        <w:trPr>
          <w:trHeight w:val="237"/>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55,895</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(16,863 )</w:t>
            </w: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(17,963 )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(45,895 )</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(35,901 )</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(9,994 )</w:t>
            </w: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long-term investments</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(2,870 )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(2,870 )</w:t>
            </w: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(101 )</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4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(2,928 )</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(3,046 )</w:t>
            </w:r>
          </w:p>
        </w:tc>
      </w:tr>
      <w:tr>
        <w:trPr>
          <w:trHeight w:val="20"/>
        </w:trPr>
        <w:tc>
          <w:tcPr>
            <w:tcW w:w="4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benefit (provision) for income taxes</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(12,938 )</w:t>
            </w: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(11,110 )</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(1,828 )</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(38,086 )</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(25,046 )</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(13,040 )</w:t>
            </w: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(1,898 )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(4,095 )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CFF0FC"/>
          </w:tcPr>
          <w:p>
            <w:pPr>
              <w:spacing w:after="0"/>
              <w:rPr>
                <w:sz w:val="21"/>
                <w:szCs w:val="2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(10,739 )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(35,887 )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(29,141 )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(6,746 )</w:t>
            </w: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-1447800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-1447800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-1447800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-1447800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-504825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-504825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-504825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-504825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-187960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Collaboration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Collaboration revenue included the following for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Ionis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Moderna</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tcPr>
          <w:p>
            <w:pPr>
              <w:spacing w:after="0"/>
              <w:rPr>
                <w:sz w:val="20"/>
                <w:szCs w:val="20"/>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Affini-T</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(1,005 )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(1,358 )</w:t>
            </w:r>
          </w:p>
        </w:tc>
      </w:tr>
      <w:tr>
        <w:trPr>
          <w:trHeight w:val="237"/>
        </w:trPr>
        <w:tc>
          <w:tcPr>
            <w:tcW w:w="4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00" w:type="dxa"/>
            <w:vAlign w:val="bottom"/>
            <w:tcBorders>
              <w:top w:val="single" w:sz="8" w:color="CFF0FC"/>
            </w:tcBorders>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-187960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Our revenue consists of collaboration revenue recognized under our agreements with Moderna (prior to the termination of the Moderna Agreement), Affini-T and Ionis. We recognize revenue as the performance obligations are satisfied. Collaboration revenue increased by $8.7 million, from $11.3 million for the three months ended June 30, 2023 to $20.0 million for the three months ended June 30, 2024 and increased by $11.2 million, from $20.0 million for the six months ended June 30, 2023 to $31.2 million for the six months ended June 30, 2024. The increase in collaboration revenue for the three months ended June 30, 2024 was primarily driven by a $11.4 million increase in revenue related to the Moderna Agreement mainly d</w:t>
      </w:r>
      <w:r>
        <w:rPr>
          <w:rFonts w:ascii="Times New Roman" w:cs="Times New Roman" w:eastAsia="Times New Roman" w:hAnsi="Times New Roman"/>
          <w:sz w:val="18"/>
          <w:szCs w:val="18"/>
          <w:color w:val="000000"/>
        </w:rPr>
        <w:t>ue to the recognition of all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remaining deferred revenue of $15.9 million resulting from the Termination Agreement, offset by a </w:t>
      </w:r>
      <w:r>
        <w:rPr>
          <w:rFonts w:ascii="Times New Roman" w:cs="Times New Roman" w:eastAsia="Times New Roman" w:hAnsi="Times New Roman"/>
          <w:sz w:val="18"/>
          <w:szCs w:val="18"/>
          <w:color w:val="231F20"/>
        </w:rPr>
        <w:t>$1.7 million decrease in revenue related to the Ionis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Agreement and a $1.0 million decrease in revenue related to the Affini-T Agreement. The increase in collaboration revenue for the six months ended June 30, 2024 was primarily driven by a $9.9 million increase in revenue related to the Moderna Agreement mainly due to the recognition of all remaining deferred revenue during the six months ended June 30, 2024 and a $2.7 million increase in revenue related to the Ionis Agreement as we performed more services, offset by a $1.4 million decrease in revenue related to the Affini-T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our research and development expenses for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Employee-related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materials and supplies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Facilities and overhead costs</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 and consulting</w:t>
            </w:r>
          </w:p>
        </w:tc>
        <w:tc>
          <w:tcPr>
            <w:tcW w:w="2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(1,644 )</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59,759</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592"/>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-908050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-890905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-908050</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-890905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-908050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-890905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-908050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-890905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690" w:gutter="0" w:footer="0" w:header="0"/>
        </w:sectPr>
      </w:pPr>
    </w:p>
    <w:bookmarkStart w:id="30" w:name="page31"/>
    <w:bookmarkEnd w:id="3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$5.6 million, from $22.7 million for the three months ended June 30, 2023 to $28.3 million for the three months ended June 30, 2024 and increased by $16.9 million, from $42.8 million for the six months ended June 30, 2023 to $59.8 million for the six months ended June 30, 2024.</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Employee-related expenses increased by $3.7 million and $10.9 million during the three and six months ended June 30, 2024, respectively, including a $1.9 million and $5.7 million increase, respectively, in stock-based compensation expense related to increased headcount and issuance of annual equity awards to existing employees, in addition to a one-time acceleration of stock-based compensation expense related to profits interests units that were canceled without a concurrent grant of a replacement award during the Reorganization and were accounted for as a repurchase for no consideration during the six months ended June 30, 2024. Laboratory materials and supplies increased by $2.1 million and $3.5 million during the three and six months ended June 30, 2024, respectively, due to expansion of our research and development operations. Facilities and allocated overhead, including rent, repairs and maintenance costs, common facilities and information technology related expenses allocated to research and development increased by $1.4 million and $1.8 million during the three and six months ended June 30, 2024, respectively. Other research and development and consulting costs decreased by $1.6 million during the three months ended June 30, 2024 and increased by $0.7 million during the six months ended June 30, 2024, mainly due to the timing of external research and development costs to support our research and preclinical development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$1.9 million, from $6.6 million for the three months ended June 30, 2023 to $8.6 million for the three months ended June 30, 2024 and increased by $4.2 million, from $13.1 million for the six months ended June 30, 2023 to $17.3 million for the six months ended June 30, 2024. The increase for both the three and six months ended June 30, 2024 was primarily related to an increase in employee-related expenses, including stock-based compensation expense, as a result of increased headcount and issuance of annual equity awards to existing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Total other income, net, decreased by $2.9 million, from $6.9 million for the three months ended June 30, 2023 to $3.9 million for the three months ended June 30, 2024 and decreased by $3.0 million, from $10.9 million for the six months ended June 30, 2023 to $7.8 million for the six months ended June 30, 2024. The decrease in other income, net, for both the three and six months ended June 30, 2024 was primarily due to a change in the fair value of our long term investment in Affini-T which was remeasured to fair value during the three and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Provision for income taxes decreased by $4.1 million and $6.3 million for the three and six months ended June 30, 2024, respectively, from a provision for income taxes of $1.9 million and $4.1 million for three and six months ended June 30, 2023, respectively, to a benefit for income taxes of $2.2 million for both the three and six months ended June 30, 2024. The benefit for income taxes for the three and six months ended June 30, 2024 was due to our intention to elect to carry back the 2024 research and development credit to the prior year. The provision for income taxes for the three and six months ended June 30, 2023 was mainly due to our taxable income related to an upfront payment received under the Ionis Agreement and capitalization of research and development expenses under the Internal Revenue Code Section 174 (“Section 174”).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Since our inception, we have historically funded our operations primarily through sales of our redeemable convertible preferred units and convertible promissory notes, which generated approximately $351.7 million in aggregate gross proceeds, in addition to net proceeds of approximately $80.7 million received in February 2024 upon the closing of our IPO. Additionally, through June 30, 2024, we received approximately $120.0 million upfront cash payments from collaboration and licensing agreements.</w:t>
      </w:r>
    </w:p>
    <w:p>
      <w:pPr>
        <w:spacing w:after="0" w:line="18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Our revenue to date has been generated from collaboration agreements. We will not generate revenue from product sales unless and until we successfully initiate and complete clinical development and obtain regulatory approval for one or more product candidates. If we obtain regulatory approval for any product candidate and do not enter into a commercialization partnership, we expect to incur significant expenses related to developing our commercialization capability to support product sales, manufacturing, marketing, and distribution.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with third parties. We may be unable to raise additional funds or enter into such other agreements or arrangements when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we expect to continue to incur substantial losses for the foreseeable future. Our net losses were $68.3 million and $43.6 million for the years ended December 31, 2023 and 2022, respectively, and $35.9 million and $29.1 million for the six months ended June 30, 2024 and 2023, respectively. As of June 30, 2024, we had an accumulated deficit of $180.8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expect our short and long-term expenses to increase substantially in connection with our ongoing activities, particularly as we advance our portfolio towards candidate nomination and preclinical trials. In addition, we expect to incur additional costs associated with operating as a public company. The timing and amount of our operating expenditures will depend largely on:</w:t>
      </w:r>
    </w:p>
    <w:p>
      <w:pPr>
        <w:spacing w:after="0" w:line="6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research and development, preclinical and clinical development activities;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future product candidates;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clinical and commercial supplies of our future product candidates, including internal manufacturing facilities and contracting with other vendors;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future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our patent applications, and maintaining and enforcing our patents and other intellectual property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attract, hire and retain skilled personnel;</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costs of legal, audit, accounting, compliance, insurance, investor relations and other expenses related to operating as a public company;</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as well as other factors, including inflation, economic uncertainty and geopolitical tensions, which may exacerbate the magnitude of the factors discussed above.</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June 30, 2024, we had $299.9 million in cash, cash equivalents and available-for-sale marketable securities. We believe that our existing cash, cash equivalents and available-for-sale marketable securities will be sufficient to fund our current operating plan for at least the next 12 months. Based on our current operating plan, we estimate that our existing cash, cash equivalents and available-for-sale marketable securities will be sufficient to fund our projected operating expenses and capital expenditure requirements into 2027. We have based this estimate on assumptions that may prove to be wrong, and we could exhaust our available capital resources sooner than we expect. See “Liquidity and Capital Resources” and “Risk Factors—Risks Related To Our Financial Position and Need for Additional Capital.” We expect that we will require additional funding to: continue our current research development activities; develop, maintain, expand and protect our intellectual property portfolio; further develop our platform; and hire additional research, clinical and scientific personnel. If we receive regulatory approval for any of our product candidates, we expect to incur significant commercialization expenses related to product manufacturing, sales, marketing and distribution, depending on where we choose to commercialize our products.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ind w:right="100"/>
        <w:spacing w:after="0" w:line="270"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short and long-term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for existing investors may be materially diluted, and the terms of such securities could include liquidation or other preferences that adversely affect existing investors’ rights as a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(56,159 )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(47,087 )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(107,768 )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(90,787 )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(79,422 )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(133,618 )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Operating Activities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Net cash used in operating activities was $56.2 million for the six months ended June 30, 2024 and consisted primarily of our net loss of $35.9 million and changes in our net operating assets and liabilities of $31.7 million, partially offset by net non-cash charges of $11.4 million. The net change in operating assets and liabilities consisted primarily of a decrease of $29.4 million in deferred revenue as we recognized revenue under our collaboration agreements, a $3.3 million decrease in income tax payable due to payment of our 2023 income tax liability and a decrease of $1.3 million in other non-current liabilities, offset by an increase of $1.7 million in accounts payable due to the timing of payments to our vendors. The net non-cash charges consisted primarily of $9.6 million in stock-based compensation expense, $2.6 million of depreciation expense, and $2.3 million in non-cash lease expense, partially offset by $3.2 million in amortization of discounts on available-for-sale marketable securities.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Net cash used in operating activities for the six months ended June 30, 2023 was $47.1 million and consisted primarily of our net loss of $29.1 million and changes in our net operating assets and liabilities of $15.1 million, partially offset by net non-cash income of $2.8 million. The changes in our net operating assets and liabilities consisted primarily of a decrease of $16.2 million in deferred revenue as we recognized revenue under our collaboration agreements, and an increase of $2.3 million in accounts receivable, partially offset by a $1.3 million decrease in contract assets and a $1.2 million increase in income tax payable. The net non-cash income consisted primarily of $4.5 million in amortization of the discount on our available-for-sale marketable securities and $2.9 million increase in the fair value of our investments in Affini-T, offset by $2.0 million in non-cash lease expense, $1.9 million of depreciation expense, and $1.2 million in stock-based compensation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Investing Activities</w:t>
      </w:r>
    </w:p>
    <w:p>
      <w:pPr>
        <w:spacing w:after="0" w:line="1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Net cash used in investing activities for the six months ended June 30, 2024 was $107.8 million due to net purchases of available-for-sale marketable securities of $106.2 million and purchases of property and equipment of $1.6 million.</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231F20"/>
        </w:rPr>
        <w:t>Net cash used in investing activities for the six months ended June 30, 2023 was $90.8 million due to net purchases of available-for-sale marketable securities of $85.0 million and purchases of property and equipment of $5.8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Financing Activities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Net cash provided by financing activities for the six months ended June 30, 2024 was $84.5 million due to net proceeds from the issuance of our common stock in our IPO, net of issuance costs paid during the period.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Net cash provided by financing activities for the six months ended June 30, 2023 was $4.3 million primarily due to net proceeds from the issuance of our Series B-1 redeemable convertible preferred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231F20"/>
        </w:rPr>
        <w:t>Contractual Obligations and Commitments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material cash requirements include our contractual obligations for our leased office and laboratory space under three lease agreements and one vivarium lease agreement. During the six months ended June 30, 2024, there were no material changes outside the ordinary course of our business to our material cash requirements described under “Management’s Discussion and Analysis of Financial Condition and Results of Operations” included in our Annual Report on Form 10-K for the year ended December 31, 2023, filed with the SEC on March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A description of recently issued accounting pronouncements that may potentially impact our financial position, results of operations or cash flows is disclosed in Note 2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Significant Judgments and Estimates</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231F20"/>
        </w:rPr>
        <w:t xml:space="preserve">Our management’s discussion and analysis of our financial condition and results of operations is based on our financial statements, which have been prepared in accordance with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w:t>
      </w:r>
      <w:r>
        <w:rPr>
          <w:rFonts w:ascii="Times New Roman" w:cs="Times New Roman" w:eastAsia="Times New Roman" w:hAnsi="Times New Roman"/>
          <w:sz w:val="18"/>
          <w:szCs w:val="18"/>
          <w:color w:val="000000"/>
        </w:rPr>
        <w:t>reported revenue generated and expenses</w:t>
      </w:r>
      <w:r>
        <w:rPr>
          <w:rFonts w:ascii="Times New Roman" w:cs="Times New Roman" w:eastAsia="Times New Roman" w:hAnsi="Times New Roman"/>
          <w:sz w:val="18"/>
          <w:szCs w:val="18"/>
          <w:color w:val="231F20"/>
        </w:rPr>
        <w:t xml:space="preserve"> incurred during the reporting periods. On an ongoing basis, we evaluate our estimates and judgments, including but not limited to those related to revenue recognition under our collaboration agreements, accrued research and development costs, the fair value of common stock and stock-based compensation expense, the valuation of deferred tax assets, and uncertain income tax positions.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w:t>
      </w:r>
      <w:r>
        <w:rPr>
          <w:rFonts w:ascii="Times New Roman" w:cs="Times New Roman" w:eastAsia="Times New Roman" w:hAnsi="Times New Roman"/>
          <w:sz w:val="18"/>
          <w:szCs w:val="18"/>
          <w:color w:val="000000"/>
        </w:rPr>
        <w:t>the circumstances, the results of which form the basis for making judgments about the carrying value of assets and liabilities that are not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readily apparent from other sources. Changes in estimates are reflected in reported results for the period in which they become known. Actual results may differ from these estimates under different assumptions or conditions.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to our critical accounting estimates or in the methodology used for estimates from those described in “Management’s Discussion and Analysis of Financial Condition and Results of Operations” included in our Annual Report on Form 10-K for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on Form 10-Q. Based on the foregoing, our principal executive officer and principal financial officer concluded that our disclosure controls and procedures were effective as of the end of the period covered by this Quarterly Report on Form 10-Q at the reasonable assurance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Exchange Act) during the quarter ended June 30, 2024 that have materially affected, or are reasonably likely to materially affect, our internal control over financial reporting.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Our management believes that there are currently no claims or actions pending against us, the ultimate disposition of which would have a material adverse effect on our results of operations, financial condition or cash flows, nor are we aware of any governmental proceedings involving potential monetary sanctions of $300,000 or more.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contained in this Quarterly Report on Form 10-Q, including our condensed consolidated financial statements and related notes appearing at the end of this Quarterly Report on Form 10-Q,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54" w:lineRule="exact"/>
        <w:rPr>
          <w:sz w:val="20"/>
          <w:szCs w:val="20"/>
          <w:color w:val="auto"/>
        </w:rPr>
      </w:pPr>
    </w:p>
    <w:p>
      <w:pPr>
        <w:ind w:left="520" w:right="7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spacing w:after="0" w:line="67" w:lineRule="exact"/>
        <w:rPr>
          <w:rFonts w:ascii="Times New Roman" w:cs="Times New Roman" w:eastAsia="Times New Roman" w:hAnsi="Times New Roman"/>
          <w:sz w:val="18"/>
          <w:szCs w:val="18"/>
          <w:color w:val="auto"/>
        </w:rPr>
      </w:pPr>
    </w:p>
    <w:p>
      <w:pPr>
        <w:jc w:val="both"/>
        <w:ind w:left="520" w:right="6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we have not yet initiated IND-enabling studies or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additional development challenges and risks due to the novel nature of our genome editing technology.</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spacing w:after="0" w:line="71"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spacing w:after="0" w:line="71"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6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conflicts arise between us and our collaborators or strategic partners, these parties may act in a manner adverse to us and could limit our ability to implement our strategies.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spacing w:after="0" w:line="53"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our ability to obtain, maintain, enforce, and otherwise protect our intellectual property and proprietary technology, and if the scope of the intellectual property protection obtained is not sufficiently broad, our competitors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ind w:left="520" w:right="200"/>
        <w:spacing w:after="0" w:line="282" w:lineRule="auto"/>
        <w:rPr>
          <w:sz w:val="20"/>
          <w:szCs w:val="20"/>
          <w:color w:val="auto"/>
        </w:rPr>
      </w:pPr>
      <w:r>
        <w:rPr>
          <w:rFonts w:ascii="Times New Roman" w:cs="Times New Roman" w:eastAsia="Times New Roman" w:hAnsi="Times New Roman"/>
          <w:sz w:val="18"/>
          <w:szCs w:val="18"/>
          <w:color w:val="auto"/>
        </w:rPr>
        <w:t>or other third parties could develop and commercialize products and product candidates similar to ours and our ability to successfully develop and commercialize our genome editing systems may be adversely affected.</w:t>
      </w:r>
    </w:p>
    <w:p>
      <w:pPr>
        <w:spacing w:after="0" w:line="54"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cyber attacks and data privacy breaches on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Position and Need for Capital</w:t>
      </w:r>
    </w:p>
    <w:p>
      <w:pPr>
        <w:spacing w:after="0" w:line="11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$68.3 million and $43.6 million for the years ended December 31, 2023 and 2022, respectively, and for the six months ended June 30, 2024 and 2023, our net losses were $35.9 million and $29.1 million, respectively. As of June 30, 2024, we had an accumulated deficit of $180.8 million. We have financed our operations primarily through issuing redeemable convertible preferred units and convertible promissory notes, entering into collaboration agreements, and through the IPO proceeds. Substantially all of our losses have resulted from expenses incurred in connection with our research and development and from general and administrative costs associated with our operations.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81"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current research activities and further develop our platform;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and initiate clinical trials for any product candidates we may identify;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for which we successfully complete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capabilities, including internal manufacturing facilities and contracting with other vendors;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commercialize our future product candidates requiring significant marketing, sales, and distribution infrastructure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clinical, commercial, general and administration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maintain or obtain freedom to operate for any of our owned or licensed technologies and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or</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audit, accounting, compliance, insurance, investor relations and other expenses related to operating as a public company that we did not incur as a private company.</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not initiated clinical development of any potential product candidate and expect that it will be many years, if ever, before we have a product candidate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regulatory approval for these product candidates, manufacturing, marketing and selling those therapies for which we may obtain regulatory approval and satisfying any post-marketing requirements. We may never succeed in these activities and, even if we do, may never generate revenues that are significant or large enough to achieve profitability.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technology and any potential product candidates, we</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spacing w:after="0" w:line="7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successfully complete research development of any product candidates we may identify;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any product candidates for which we successfully complete clinical trials;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we may obtain regulatory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may develop;</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market acceptance by physicians, patients, healthcare payors, and others in the medical community;</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and other proprietary rights, including patents, trade secrets and know-how;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third-party intellectual property claims of infringement, misappropriation or other violation;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expenses could increase beyond expectations if we are required by the U.S. Food and Drug Administration (the “FDA”) or other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Developing gene editing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Other unanticipated costs may also arise. Furthermore, we expect to continue incurring additional costs associated with operating as a public company. Accordingly, we will need to obtain substantial additional funding in connection with our continuing operations. If we are unable to raise capital when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1360"/>
        <w:spacing w:after="0" w:line="282" w:lineRule="auto"/>
        <w:rPr>
          <w:sz w:val="20"/>
          <w:szCs w:val="20"/>
          <w:color w:val="auto"/>
        </w:rPr>
      </w:pPr>
      <w:r>
        <w:rPr>
          <w:rFonts w:ascii="Times New Roman" w:cs="Times New Roman" w:eastAsia="Times New Roman" w:hAnsi="Times New Roman"/>
          <w:sz w:val="18"/>
          <w:szCs w:val="18"/>
          <w:color w:val="auto"/>
        </w:rPr>
        <w:t>needed or on acceptable terms, we would be forced to delay, reduce, or eliminate our research and product development programs, future commercialization efforts or other operations.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2024, our cash, cash equivalents and available-for-sale marketable securities were $299.9 million. We expect that our existing cash, cash equivalents, and available-for-sale marketable securities, will enable us to fund our operating expenses and capital expenditure requirements into 2027. However, our operating plan may change as a result of factors currently unknown to us, and we may need to seek funding sooner than planned. Our future capital requirements will depend on many factors, including:</w:t>
      </w:r>
    </w:p>
    <w:p>
      <w:pPr>
        <w:spacing w:after="0" w:line="72"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research and development, preclinical and clinical development activities;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clinical and commercial supplies of our future product candidates;</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future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our patent applications, maintaining and enforcing our patents and other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and license agreements on favorable terms, if at all;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attract, hire and retain skilled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pandemics, economic uncertainty and geopolitical tensions, which may exacerbate the magnitude of the factors discussed above.</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future product candidates or other research and development initiatives.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Without sufficient funding, our license agreements and any future collaboration agreements may also be terminated if we are unable to meet the payment or other obligations under such agreements.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you to evaluate the success of our business to date and to assess our future viability.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early-stage company. We commenced our operations in September 2018. Our operations to date have been limited to organizing and staffing our company, business planning, raising capital, and research and development activities such as acquiring and developing our platform and technology and identifying and beginning to advance preclinical testing of potential product candidates. All of our programs are still in the research or lead optimization stage of development and their risk of failure is high. We have not yet demonstrated an ability to initiate or successfully complete any clinical trials, including large-scale, pivotal clinical trials, obtain regulatory approvals, manufacture a commercial-scale therapy, arrange for a third party to do so on our behalf or conduct sales and marketing activities necessary for successful commercialization.</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genome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as a new business that is rapidly growing, we may encounter other unforeseen expenses, difficulties, complications, and delays in our product development. We will need to transition from a company with a research focus to a company capable of conducting clinical trials and ultimately supporting commercial activities if any of our future product candidates are approved.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ability to utilize our net operating loss carryforwards and certain other tax attributes may be limited.</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Since our inception, we have incurred losses and we may never achieve profitability. As of December 31, 2023, we had U.S. federal net operating loss carryforwards of less than $0.1 million (which are not subject to expiration) and state net operating loss carryforwards of $17.5 million (which begin to expire in various amounts in 2037), and $4.7 million of research credit carryforwards for state income tax purposes (which do not expire and can be carried forward indefinitely). To the extent that we continue to generate taxable losses, under current law, our unused U.S. federal net operating losses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As of December 31, 2023, the Company has completed an IRC Section 382 analysis from inception through the year ended December 31, 2023. The Company experienced two ownership changes in August 2019 and January 2022. Net operating losses generated prior to December 31, 2017, of $0.3 million are permanently limited for federal tax purposes. Net federal operating losses generated after December 31, 2017 are not limited as they can be carried forward indefinitely, subject to an 80% income limitation. Net operating losses of $0.1 million are permanently limited for California tax purposes. In addition, we may experience ownership changes in the future,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Business, Technology, and Industry</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we have not yet initiated IND-enabling studies or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very early in our development efforts and have focused our research and development efforts to date on research efforts including preclinical studies. Currently, all of our programs are still in the research or lead optimization stage of development. Our ability to generate product revenues, which we do not expect will occur for many years, if ever, will depend heavily on the successful development, regulatory approval and eventual commercialization of our future product candidates, which may never occur. We have not yet generated revenue from product sales, and we may never be able to develop or commercialize a marketable product.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investigational new drug (“IND”) application and finalizing the trial design based on discussions with the FDA.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in other countries, including countries in the European Union.</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87"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Commercialization of any product candidates we may develop will require preclinical and clinical development; regulatory approval in multiple jurisdictions; manufacturing supply, capacity and expertise; a commercial organization; and significant marketing efforts. The success of product candidates we may identify and develop will depend on many factors, including the following:</w:t>
      </w:r>
    </w:p>
    <w:p>
      <w:pPr>
        <w:spacing w:after="0" w:line="68" w:lineRule="exact"/>
        <w:rPr>
          <w:sz w:val="20"/>
          <w:szCs w:val="20"/>
          <w:color w:val="auto"/>
        </w:rPr>
      </w:pPr>
    </w:p>
    <w:p>
      <w:pPr>
        <w:ind w:left="520" w:right="1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product candidates we may develop;</w:t>
      </w:r>
    </w:p>
    <w:p>
      <w:pPr>
        <w:spacing w:after="0" w:line="53"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(“GCPs”), current Good Laboratory Practices (“GLPs”), and any additional regulatory requirements from foreign regulatory authorities;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and an acceptable risk-benefit profile in the intended populations;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any product candidates we may develop,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 candidates we may develop, including method of administration,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product candidates we may develop following approval;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additional development challenges and risks due to the novel nature of our genome editing technology.</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Because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technology potentially involves genome editing across multiple cell and tissue types, we are subject to many of the challenges and risks that other genome editing therapeutics and gene therapies face, including:</w:t>
      </w:r>
    </w:p>
    <w:p>
      <w:pPr>
        <w:spacing w:after="0" w:line="52" w:lineRule="exact"/>
        <w:rPr>
          <w:sz w:val="20"/>
          <w:szCs w:val="20"/>
          <w:color w:val="auto"/>
        </w:rPr>
      </w:pPr>
    </w:p>
    <w:p>
      <w:pPr>
        <w:ind w:left="520" w:right="1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guidance regarding the requirements governing gene and genome editing therapy product candidates have changed and may continue to change in the future;</w:t>
      </w:r>
    </w:p>
    <w:p>
      <w:pPr>
        <w:spacing w:after="0" w:line="5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date, only a limited number of products that involve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transfer have been approved globally;</w:t>
      </w:r>
    </w:p>
    <w:p>
      <w:pPr>
        <w:spacing w:after="0" w:line="119"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modulation of a gene sequence, including unintended editing events or insertion of a sequence into certain locations in a patient’s chromosome, could lead to cancer, other aberrantly functioning cells or other diseases, including death;</w:t>
      </w:r>
    </w:p>
    <w:p>
      <w:pPr>
        <w:spacing w:after="0" w:line="53" w:lineRule="exact"/>
        <w:rPr>
          <w:rFonts w:ascii="Times New Roman" w:cs="Times New Roman" w:eastAsia="Times New Roman" w:hAnsi="Times New Roman"/>
          <w:sz w:val="18"/>
          <w:szCs w:val="18"/>
          <w:color w:val="auto"/>
        </w:rPr>
      </w:pPr>
    </w:p>
    <w:p>
      <w:pPr>
        <w:ind w:left="520" w:right="8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require extended follow-up observation periods of patients who receive treatment using genome editing product candidates including, for example, the FDA’s recommended 15-year follow-up observation period for these patients, and we will need to adopt such observation periods for product candidates we develop if required by the relevant regulatory agency, which could vary by country or region.</w:t>
      </w:r>
    </w:p>
    <w:p>
      <w:pPr>
        <w:spacing w:after="0" w:line="1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Furthermore, our technology has potential application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immune cell editing strategies. Because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application of our technology potentially involves editing human cells and then delivering modified cells to patients, we may be subject to many of the challenges and risks that engineered cell therapies face. For example, clinical trials using engineered cell-based gene therapies may require unique products to be created for each patient and such individualistic manufacturing may be both inefficient and cost-prohibitive.</w:t>
      </w:r>
    </w:p>
    <w:p>
      <w:pPr>
        <w:spacing w:after="0" w:line="17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Because genome editing is relatively novel and the regulatory landscape that will govern our potential product candidates is uncertain and may change, we cannot predict the time and cost of obtaining regulatory approval, if we receive it at all, for our potential product candidates.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for any of our potential product candidates from the FDA, the European Medicines Agency (“EMA”) or other comparable foreign regulatory authorities is unpredictable but typically takes many years following the commencement of clinical trials and depends upon numerous factors, including the substantial discretion of regulatory authorities. For more information on the regulatory approval process, see “Business— Government Regulation” in our Annual Report on Form 10-K for the fiscal year ended December 31, 2023. Clinical trials may fail to demonstrate that our product candidates are safe for humans and effective for indicated uses. Even if initial clinical trials in any of any product candidates we may develop are successful, such product candidates may fail to show the desired safety and efficacy in later stages of clinical development despite having successfully advanced through preclinical studies and initial clinical trials. 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w:t>
      </w:r>
    </w:p>
    <w:p>
      <w:pPr>
        <w:spacing w:after="0" w:line="18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Because genome editing is relatively novel, the regulatory requirements that will govern any novel genome editing product candidates we develop may continue to evolve. Only one genome editing therapy, CASGEVY, has received marketing authorization from the FDA and EMA to date and, within the broader genetic therapy field, a limited number of gene therapy products have received marketing authorization from the FDA and the EMA. Even with respect to more established products that fit into the categories 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right="40"/>
        <w:spacing w:after="0" w:line="253" w:lineRule="auto"/>
        <w:rPr>
          <w:sz w:val="20"/>
          <w:szCs w:val="20"/>
          <w:color w:val="auto"/>
        </w:rPr>
      </w:pPr>
      <w:r>
        <w:rPr>
          <w:rFonts w:ascii="Times New Roman" w:cs="Times New Roman" w:eastAsia="Times New Roman" w:hAnsi="Times New Roman"/>
          <w:sz w:val="18"/>
          <w:szCs w:val="18"/>
          <w:color w:val="auto"/>
        </w:rPr>
        <w:t>gene therapies or cell therapies, the regulatory landscape is still developing. Regulatory requirements governing gene therapy products and cell therapy products have changed frequently and may continue to change in the future. For example, in January 2020, the FDA issued several new guidance documents on gene therapy products, and in January 2024, the FDA published a final guidance document providing recommendations for human genome editing gene therapy products. Moreover, there is substantial, and sometimes uncoordinated, overlap in those responsible for regulation of existing gene therapy products and cell therapy products. For example, in the United States, the FDA has established the Office of Therapeutic Products (“OTP”) within its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(“IBC”), a local institutional committee that reviews and oversees certain basic and clinical research conducted at the institution participating in the clinical trial. Although the FDA decides whether individual gene therapy protocols may proceed, the review process and determinations of other reviewing bodies, such as an IBC or institutional review board (“IRB”), can impede or delay the initiation of a clinical trial, even if the FDA has reviewed the trial and approved its initiation. For example, more recently, some genome editing companies have seen significant delays in receiving FDA authorization to allow the initiation of their clinical trials, and has suspended ongoing trials, due to the FDA’s placement of clinical holds on their INDs.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same applies in the European Union. The EMA’s Committee for Advanced Therapies (“CAT”) is responsible for assessing the quality, safety and efficacy of advanced-therapy medicinal products (i.e. gene therapy, somatic-cell therapy or tissue-engineered medicines). The role of the CAT is to prepare a draft opinion on an application for marketing authorization for a gene therapy medicinal candidate that is submitted to the Committee for Medicinal Products for Human Use (“CHMP”) before CHMP adopts its opinion which is submitted to the European Commission for the final decision on whether to grant a marketing authorization or not. In the European Union, the EMA publishes guidelines for the development and evaluation of gene therapy medicinal products to assist in preparing marketing authorization applications, however these are continually under review. The EMA may issue new guidelines concerning the development and marketing authorization for gene therapy medicinal products and require that we comply with these new guidelines.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Adverse developments in post-marketing experience or in clinical trials conducted by others of gene therapy products, cell therapy products or products developed through the application of genome editing technology may cause the FDA, the EMA and other regulatory bodies to revise the requirements for development or approval of our potential product candidates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9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any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16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date, we have focused our efforts on genome editing technologies using programmable nucleases, base editing, and RNA and DNA-mediated integration systems (including prime editors and Cas transposases backed by our metagenomics database). Other companies have previously undertaken research and development of genome editing technologies using zinc finger nucleases, engineered meganucleases and transcription activator-like effector nucleases, but to date none have obtained regulatory approval for a product candidate. There can be no certainty that genome editing technology will lead to the development of genetic medicines or that other genome editing technologies will not be considered better or more attractive for the development of medicines. A number of alternative approaches are being developed by others. Our investments may not be consistent with the expectations of our stockholders and may not produce the benefits that we expect, in which case our growth, business, financial condition, and results of operations could be adversely affected. See “Risk Factors—Risks Related to Business, Technology and Industry—We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 Similarly, another new genome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440"/>
        <w:spacing w:after="0" w:line="282" w:lineRule="auto"/>
        <w:rPr>
          <w:sz w:val="20"/>
          <w:szCs w:val="20"/>
          <w:color w:val="auto"/>
        </w:rPr>
      </w:pPr>
      <w:r>
        <w:rPr>
          <w:rFonts w:ascii="Times New Roman" w:cs="Times New Roman" w:eastAsia="Times New Roman" w:hAnsi="Times New Roman"/>
          <w:sz w:val="18"/>
          <w:szCs w:val="18"/>
          <w:color w:val="auto"/>
        </w:rPr>
        <w:t>editing technology that has not been discovered yet may be more attractive than programmable nucleases, base editing, and RNA and DNA-mediated integration systems.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if we decide to develop genome editing technologies other than those involving such technologies,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spacing w:after="0" w:line="17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product candidates we may develop or the delivery modes we rely on cause undesirable side effects, it could delay or prevent their development or potential regulatory approval, limit the commercial potential or result in significant negative consequences following any potential regulatory approval.</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date, we have not evaluated any product candidates in human clinical trials. It is impossible to predict when or if any product candidates we may develop will ultimately prove safe in humans. In the genomic medicine field, there have been several significant adverse events from gene therapy treatments in the past, including reported cases of leukemia and death. Product candidates we may develop may be associated with undesirable side effects, unexpected characteristics or other serious adverse events, including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 There is also the potential risk of delayed adverse events following exposure to genome editing therapy due to persistent biologic activity of the genetic material or other components of products used to carry the genetic material. Possible adverse side effects that could occur with treatment with genome editing products include an immunologic reaction after administration which could substantially limit the effectiveness of the treatment If any of our genome editing technologies demonstrate a similar effect, we may decide or be required to halt or delay preclinical development or clinical development of any product candidates we may develop. In addition to serious adverse events or side effects caused by any product candidate we may develop, the administration process or related procedures also can cause undesirable side effects. If any such events occur, our preclinical studies or clinical trials could be delayed, suspended or terminated. There can be no assurance that our genome editing technologies will not cause severe or undesirable side effects.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in the future we are unable to demonstrate that such adverse events were caused by factors other than our product candidate, the FDA, the EMA or other comparable foreign regulatory authorities could order us to cease further clinical studies of, or deny approval of, any product candidates we develop for any or all targeted indications. Even if we are able to demonstrate that all future serious adverse events are not product-related, such occurrences could affect patient recruitment or the ability of enrolled patients to complete the trial.</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Viral vectors, including the adeno-associated virus (“AAV”), which are relatively new approaches used for disease treatment, also have known side effects, and for which additional risks could develop in the future. In past clinical trials that were conducted by others with non-AAV vectors, significant side effects were caused by gene therapy treatments, including reported cases of myelodysplasia,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cancer. If the vectors we use demonstrate a similar side effect, or other adverse events, we may be required to halt or delay further clinical development of any potential product candidates. Such delayed adverse events may also occur in other viral vectors, including AAV vectors.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side effects and adverse events caused by our product candidates, the conditioning, administration process or related procedures which may be used to condition a patient for gene therapy treatment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and conditioning regimens have been associated with adverse events in clinical trial participants.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regulatory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380"/>
        <w:spacing w:after="0" w:line="282" w:lineRule="auto"/>
        <w:rPr>
          <w:sz w:val="20"/>
          <w:szCs w:val="20"/>
          <w:color w:val="auto"/>
        </w:rPr>
      </w:pPr>
      <w:r>
        <w:rPr>
          <w:rFonts w:ascii="Times New Roman" w:cs="Times New Roman" w:eastAsia="Times New Roman" w:hAnsi="Times New Roman"/>
          <w:sz w:val="18"/>
          <w:szCs w:val="18"/>
          <w:color w:val="auto"/>
        </w:rPr>
        <w:t>identify undesirable side effects caused by any product candidate that we may develop that receives regulatory approval, several potentially significant negative consequences could result, including:</w:t>
      </w:r>
    </w:p>
    <w:p>
      <w:pPr>
        <w:spacing w:after="0" w:line="54"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revoke licenses or suspend, vary or withdraw approvals of such product candidate;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genome editing technology and any product candidates we may identify and develop and could have a material adverse effect on our business, financial condition, results of operations and prospects.</w:t>
      </w:r>
    </w:p>
    <w:p>
      <w:pPr>
        <w:spacing w:after="0" w:line="15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of any product candidates we may develop may not necessarily be predictive of the results of later preclinical studies and any future clinical trials of such product candidates. If we cannot replicate the positive results from our earlier preclinical studies of any product candidates we may develop in our later preclinical studies and future clinical trials, we may be unable to successfully develop, obtain regulatory approval for and commercialize such product candidates.</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Any positive results from our preclinical studies of any product candidates we may develop may not necessarily be predictive of the results from later preclinical studies and clinical trials of such product candidates. Similarly, even if we are able to complete our planned preclinical studies or any future clinical trials of any product candidates we may develop according to our current development timeline, the positive results from such preclinical studies and clinical trials of our product candidates may not be replicated in subsequent preclinical studies or clinical trial results.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also consider additional delivery modes, which may carry additional known and unknown risks.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also consider additional delivery modes, which may carry additional known and unknown risks. For example, we intend to use lipid nanoparticles (“LNPs”) to deliver our nucleases. While LNPs have been used to deliver smaller molecules, such as small interfering RNA (“siRNA”), they have not been clinically proven to deliver large RNA molecules. Furthermore, as with many AAV-mediated gene therapy approaches, certain patients’ immune systems might prohibit the successful delivery, thereby potentially limiting treatment outcomes of these patients. Even if initial clinical trials in any of our potential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future clinical trials given the limited number of patients who have the diseases any product candidates we identify or develop are intended to target. If we experience delays or difficulties in the enrollment of patients in clinical trials, our clinical development activities and our receipt of necessary regulatory approvals could be delayed or prevented.</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we progress our programs, we may not be able to initiate or continue clinical trials for any product candidates we identify or develop if we are unable to locate and enroll a sufficient number of eligible patients to participate in these trials as required by the FDA, the EMA or other comparable regulatory authorities outside the United States, or as needed to provide appropriate statistical power for a given trial. Enrollment may be particularly challenging for some of the rare genetically defined diseases we are targeting in some of our discovery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 candidates or for other reasons, the timeline for recruiting patients, conducting studies and obtaining regulatory approval of our potential product candidates may be delayed. Moreover, some of our competitors may have ongoing clinical trials for product candidates that would treat the same indications as our potential product candidates, and patients who would otherwise be eligible for our future clinical trials may instead enroll in clinical trials of our competitors’ product candidates.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Patient enrollment is also affected by other factors, some of which may include:</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 including proximity and availability of clinical trial sites for prospective patients with conditions that have small patient pools;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 including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 and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informed consent;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 and genome editing as a therapeutic approach;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our ability to successfully initiate, enroll and complete a clinical trial in any foreign country is subject to numerous risks unique to conducting business in foreign countries, some of which may include:</w:t>
      </w:r>
    </w:p>
    <w:p>
      <w:pPr>
        <w:spacing w:after="0" w:line="54"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clinical research organizations (“CROs”) and physicians;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standard-of-care for patients with a particular disease;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locating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520" w:right="88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burden of complying with a variety of foreign laws, medical standards and regulatory requirements, including the regulation of pharmaceutical and biotechnology products and treatment and of genome editing technologies.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Enrollment delays in our future clinical trials may result in increased development costs for our potential product candidates, which would cause the value of our company to decline and limit our ability to obtain additional financing. If we or our collaborators have difficulty enrolling a sufficient number of patients to conduct our future clinical trials as planned, we may need to delay, limit or terminate ongoing or planned clinical trials or entire clinical programs, any of which would have an adverse effect on our business, financial condition, results of operations and prospects.</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Genetic therapies are novel, and any product candidates we develop may be complex and difficult to manufacture. We could experience delays in satisfying regulatory authorities or production problems that result in delays in our development programs, limit the supply of the product candidates we may develop or otherwise harm our business.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the FDA, the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preclinical studies or clinical trials. In addition, any product candidates we may develop will require complicated delivery methods, each of which will introduce additional complexities in the manufacturing process.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genome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Amongst publicly traded peers, there are several companies utilizing CRISPR/Cas technology, including Caribou Biosciences, Inc., Editas Medicine, Inc., CRISPR Therapeutics AG and Intellia Therapeutics, Inc. Several additional companies such as Sangamo Therapeutics, Inc., Precision BioSciences, Inc., bluebird bio, Inc., and Cellectis Inc. utilize alternative nuclease-based genome editing technologies, including zinc finger nucleases (“ZFNs”), engineered meganucleases and transcription-activator like effector nucleases (“TALENs”). Beam Therapeutics utilizes base editing technology. Prime Medicine utilizes prime editing technology.</w:t>
      </w:r>
    </w:p>
    <w:p>
      <w:pPr>
        <w:spacing w:after="0" w:line="18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addition, other private companies such as Tessera Therapeutics, Inc. and Tome Biosciences, Inc. have announced their work in recombinase DNA and RNA gene writers, although little is known publicly about their science or portfolio. Most recently, new epigenetic editing companies have emerged, such as Chroma Medicine, Inc. and Tune Therapeutics, Inc. In addition, we face competition from companies utilizing gene therapy, oligonucleotides and cell therapy therapeutic approaches.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Several private companies such as Arbor Biotechnologies, Inc., Scribe Therapeutics Inc., and Mammoth Biosciences, Inc. are actively searching for novel genome editing components and have reported the discovery of new DNA-cutting enzymes. Other companies are active in LNP delivery technologies and advancing those into therapeutics using genetic therapies, including Recode Therapeutics, Inc., Verve Therapeutics, Inc., Generation Bio Co. and Beam Therapeutics, among others.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 This may include other types of therapies, such as small molecule, antibody and/or protein therapies.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t>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genome editing and cellular therapy products may negatively impact demand for, or regulatory approval of, any product candidates we may develop.</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product candidates we may develop will involve editing the human genome. The clinical and commercial success of any product candidates we may develop will depend in part on public acceptance of the use of genome editing therapies for the prevention or treatment of human diseases. Public attitudes may be influenced by claims that genome editing is unsafe, unethical, or immoral, and, consequently, our products may not gain the acceptance of the public or the medical community. Negative public reaction to gene therapy in general could result in greater government regulation and stricter labeling requirements of genome editing products, including any of our product candidates, and could cause a decrease in the demand for any products we may develop. Adverse public attitudes may adversely impact our ability to enroll clinical trials. Additionally, ethical, social and legal concerns about genome editing and gene therapy could result in additional regulations restricting or prohibiting any product candidates we may develop.</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the product candidates we may develop will depend upon the degree of market acceptance by physicians, patients, third-party payors and others in the medical community.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Even if we obtain the requisite approvals from the FDA in the United States, the EMA in the European Union and other regulatory authorities internationally, the commercial success of any product candidates we may develop will depend, in part, on the acceptance of physicians, patients and health care payors of genome editing and gene therapy products in general, and our product candidates in particular, as medically necessary, cost-effective and safe. Any product that we commercialize may not gain acceptance by physicians, patients, health care payors and others in the medical community who may opt for existing treatments with which they are already familiar and for which greater clinical data may be available. The degree of market acceptance of genome editing and gene therapy products and, in particular, any product candidates we may develop, if approved for commercial sale, will depend on several factors, including:</w:t>
      </w:r>
    </w:p>
    <w:p>
      <w:pPr>
        <w:spacing w:after="0" w:line="81"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of such product candidates as demonstrated in any future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such product candidates over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EMA or other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awareness of, and willingness to seek, genotyping;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and reimbursement.</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future clinical trials, market acceptance of the product will not be fully known until after it is launched. If any product candidates we may develop do not achieve an adequate level of acceptance following regulatory approval, if ever, we may not generate significant product revenue and may not become profitable.</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products based on our technologies, we may not be successful in commercializing our future product candidates if and when any such product candidates are approved and we may not be able to generate any revenue.</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as a company, have no experience in the sale, marketing or distribution of therapeutic products. To achieve commercial success for any potential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and when they are approved.</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 that we may develop;</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185" w:lineRule="exact"/>
        <w:rPr>
          <w:sz w:val="20"/>
          <w:szCs w:val="20"/>
          <w:color w:val="auto"/>
        </w:rPr>
      </w:pPr>
    </w:p>
    <w:p>
      <w:pPr>
        <w:ind w:right="7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such product candidates.</w:t>
      </w:r>
    </w:p>
    <w:p>
      <w:pPr>
        <w:spacing w:after="0" w:line="2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80"/>
        <w:spacing w:after="0" w:line="258" w:lineRule="auto"/>
        <w:rPr>
          <w:sz w:val="20"/>
          <w:szCs w:val="20"/>
          <w:color w:val="auto"/>
        </w:rPr>
      </w:pPr>
      <w:r>
        <w:rPr>
          <w:rFonts w:ascii="Times New Roman" w:cs="Times New Roman" w:eastAsia="Times New Roman" w:hAnsi="Times New Roman"/>
          <w:sz w:val="18"/>
          <w:szCs w:val="18"/>
          <w:color w:val="auto"/>
        </w:rPr>
        <w:t>administration of our product candidate to patients) is also important. Inadequate reimbursement for such services may lead to physician and payor resistance and adversely affect our ability to market or sell our product candidates.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the cost of a single administration of a genome editing therapy,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of our product candidates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United States,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any product candidates we may develop, in addition to the costs required to obtain FDA or comparable regulatory approvals. Additionally, we may also need to provide discounts to purchasers, private health plans or government healthcare programs. Despite our best efforts, any product candidates we may develop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 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United States and prices generally tend to be significantly lower.</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establish collaborations on a timely basis, on commercially reasonable terms, or at all, we may have to alter, reduce or delay our development and commercialization plans, or increase our expenditures to fund development or commercialization activities at our own expense.</w:t>
      </w:r>
    </w:p>
    <w:p>
      <w:pPr>
        <w:spacing w:after="0" w:line="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some of the product candidates we may develop, we may decide to collaborate with other pharmaceutical and biotechnology companies for the development and potential commercialization of those product candidates. We face significant competition in seeking appropriate collaborations and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geopolitical tensions and in the global financial markets. A severe or prolonged economic downturn or additional global financial and political crises could result in a variety of risks to our business, including weakened demand for any product candidates we develop or our ability to raise additional capital when needed on acceptable terms, if at all. A weak or declining economy could also strain our suppliers or other third parties and create import and export issues, possibly resulting in supply disruption. Any of the foregoing could harm our business and we cannot anticipate all of the ways in which the current economic climate and financial market conditions could adversely impact our business.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pandemics and other widespread outbreaks of contagious disease, such as the COVID-19 pandemic, which could significantly disrupt our operations, impact our financial results or otherwise adversely impact our business.</w:t>
      </w:r>
    </w:p>
    <w:p>
      <w:pPr>
        <w:spacing w:after="0" w:line="5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Significant outbreaks of contagious diseases and other adverse public health developments could have a material impact on our business operations and operating results. For example, the spread of COVID-19 has affected segments of the global economy and our operations. As a result of the COVID-19 pandemic or similar public health crises that may arise, we may experience disruptions that could adversely impact our operations, research and development, and as we continue developing, any preclinical studies, clinical trials and manufacturing activities we may conduct, some of which may include:</w:t>
      </w:r>
    </w:p>
    <w:p>
      <w:pPr>
        <w:spacing w:after="0" w:line="7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research programs, preclinical studies, clinical trials or IND-enabling studies that we or our collaborators may conduct;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the EMA and comparable foreign regulatory agencies;</w:t>
      </w:r>
    </w:p>
    <w:p>
      <w:pPr>
        <w:spacing w:after="0" w:line="117" w:lineRule="exact"/>
        <w:rPr>
          <w:rFonts w:ascii="Times New Roman" w:cs="Times New Roman" w:eastAsia="Times New Roman" w:hAnsi="Times New Roman"/>
          <w:sz w:val="18"/>
          <w:szCs w:val="18"/>
          <w:color w:val="auto"/>
        </w:rPr>
      </w:pPr>
    </w:p>
    <w:p>
      <w:pPr>
        <w:ind w:left="520" w:right="140" w:hanging="512"/>
        <w:spacing w:after="0" w:line="312"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or delays in receiving and distributing, supplies of drug substance and drug product from our contract manufacturing organizations (“CMOs”), to preclinical or clinical research sites or delays or disruptions in any preclinical studies or clinical trials performed by CROs;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on our business operations by local, state or federal authorities to address a pandemic or similar public health crises; and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1" w:name="page52"/>
    <w:bookmarkEnd w:id="51"/>
    <w:p>
      <w:pPr>
        <w:ind w:left="520" w:right="34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and cybersecurity and data accessibility or security issues.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trading prices for biopharmaceutical companies have been highly volatile as a result of the COVID-19 pandemic and we may face similar volatility in our stock price. We cannot predict the scope and severity of any economic recovery after the COVID-19 pandemic abates, including following any additional “waves” or other intensifying of the pandemic. If we or any of the third parties with whom we engage were to experience additional shutdowns or other business disruptions, our ability to conduct our business in the manner and on the timelines presently planned could be materially and negatively affected, which could have a material adverse impact on our business, financial condition, our results of operations and prospects. Furthermore, the COVID-19 pandemic or other similar public health crises could exacerbate the other risks described in this section.</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disasters, terrorist activity, pandemics and other events beyond our control, which could harm our business.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79"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and legal liability, and adversely affect our results of operations.</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incorporate artificial intelligence (“AI”) solutions into our platform, and these applications may become important in our operations over time. There are significant risks involved in utilizing AI and no assurance can be provided that the usage of such AI will enhance our business or assist our business in being more efficient or profitable. Known risks of AI currently include inaccuracy, bias, toxicity, intellectual property infringement or misappropriation, data privacy and cybersecurity and data provenance.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Clinical Trials</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spacing w:after="0" w:line="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w:t>
      </w:r>
    </w:p>
    <w:p>
      <w:pPr>
        <w:spacing w:after="0" w:line="17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some of our potential product candidates. If a therapy is intended for the treatment of a serious or life threatening condition and the therapy nonclinical or clinical data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spacing w:after="0" w:line="251" w:lineRule="auto"/>
        <w:rPr>
          <w:sz w:val="20"/>
          <w:szCs w:val="20"/>
          <w:color w:val="auto"/>
        </w:rPr>
      </w:pPr>
      <w:r>
        <w:rPr>
          <w:rFonts w:ascii="Times New Roman" w:cs="Times New Roman" w:eastAsia="Times New Roman" w:hAnsi="Times New Roman"/>
          <w:sz w:val="18"/>
          <w:szCs w:val="18"/>
          <w:color w:val="auto"/>
        </w:rPr>
        <w:t>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In addition, we may seek a regenerative medicine advanced therapy (“RMAT”) designation for some of our potential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biologics license application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 We may also seek rare pediatric disease designation for some of our potential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U.S. Federal Food, Drug, and Cosmetic Act (“FDCA”), we will need to request a rare pediatric disease PRV in our original marketing application for any potential product candidates for which we have received rare pediatric disease designation. The FDA may determine that a marketing application for any such product candidates, if approved, does not meet the eligibility criteria for a PRV. Under the current statutory sunset provisions, after September 30, 2024, the FDA may only award a PRV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PRVs. However, it is possible the authority for FDA to award rare pediatric disease PRV will be further extended by Congress. As such, if we do not obtain approval of a marketing application for any of our potential product candidates on or before September 30, 2026, and if the PRV program is not extended by Congressional action, we may not receive a PRV.</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right="20"/>
        <w:spacing w:after="0" w:line="256" w:lineRule="auto"/>
        <w:rPr>
          <w:sz w:val="20"/>
          <w:szCs w:val="20"/>
          <w:color w:val="auto"/>
        </w:rPr>
      </w:pPr>
      <w:r>
        <w:rPr>
          <w:rFonts w:ascii="Times New Roman" w:cs="Times New Roman" w:eastAsia="Times New Roman" w:hAnsi="Times New Roman"/>
          <w:sz w:val="18"/>
          <w:szCs w:val="18"/>
          <w:color w:val="auto"/>
        </w:rPr>
        <w:t>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in the European Union, we may seek to participate in the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small-and medium-sized enterprises may qualify for earlier entry into the 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w:t>
      </w:r>
    </w:p>
    <w:p>
      <w:pPr>
        <w:spacing w:after="0" w:line="18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and other reform legislation may increase the difficulty and cost for us and any collaborators we may have to obtain regulatory approval of and commercialize any product candidates we may develop and affect the prices we, or they, may obtain.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ongoing efforts to implement legislative and regulatory changes regarding the healthcare system. Such changes could prevent or delay regulatory approval of any product candidates that we may develop, restrict or regulate post-approval activities and affect our ability to profitably sell any product candidates for which we obtain regulatory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Within the United States, the federal government and individual states have aggressively pursued healthcare reform, as evidenced by the passing of the Affordable Care Act, as amended by the Health Care and Education Reconciliation Act of 2010 (collectively, the “ACA”), and the ongoing efforts to modify or repeal that legislation. The ACA significantly changed the way healthcare is financed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right="120"/>
        <w:spacing w:after="0" w:line="256" w:lineRule="auto"/>
        <w:rPr>
          <w:sz w:val="20"/>
          <w:szCs w:val="20"/>
          <w:color w:val="auto"/>
        </w:rPr>
      </w:pPr>
      <w:r>
        <w:rPr>
          <w:rFonts w:ascii="Times New Roman" w:cs="Times New Roman" w:eastAsia="Times New Roman" w:hAnsi="Times New Roman"/>
          <w:sz w:val="18"/>
          <w:szCs w:val="18"/>
          <w:color w:val="auto"/>
        </w:rPr>
        <w:t>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former Trump administration and additional modifications or repeal may occur.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also been executive, judicial, and congressional challenges to certain aspects of the ACA. It is unclear how other healthcare reform measures of the Biden administration or other efforts, if any, to challenge, repeal or replace the ACA will impact our business.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American Rescue Plan Act of 2021 eliminated the statutory Medicaid drug rebate cap, previously set at 100 percent of a drug’s average manufacturer price, for single source and innovator multiple source drugs, beginning January 1, 2024. The U.S. Budget Control Act of 2011 and subsequent legislation, among other things, included aggregate reductions of Medicare payments to providers of 2% per fiscal year, which remain in effect through 2032. The American Taxpayer Relief Act of 2012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effects of the IRA on our business and the healthcare industry in general is not yet known.</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0"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32"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40"/>
        <w:spacing w:after="0" w:line="258" w:lineRule="auto"/>
        <w:rPr>
          <w:sz w:val="20"/>
          <w:szCs w:val="20"/>
          <w:color w:val="auto"/>
        </w:rPr>
      </w:pPr>
      <w:r>
        <w:rPr>
          <w:rFonts w:ascii="Times New Roman" w:cs="Times New Roman" w:eastAsia="Times New Roman" w:hAnsi="Times New Roman"/>
          <w:sz w:val="18"/>
          <w:szCs w:val="18"/>
          <w:color w:val="auto"/>
        </w:rPr>
        <w:t>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order to proceed into clinical development of any product candidates we identify, we will need to submit INDs or clinical trial applications to regulatory authorities and obtain regulatory clearance to commence clinical 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such as PH1 have small patient populations, and designing and executing a rigorous clinical trial with appropriate statistical power is more difficult than with diseases that have larger patient populations.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 Within the broader genome product field, only a limited number of gene therapy products, such as uniQure N.V.’s Glybera and Abecma from Bristol Myers Squibb and bluebird bio, have received marketing authorization or regulatory approval from the European Commission or the FDA. Some of these products have taken years to register and have had to deal with significant issues in their post-marketing experience.</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8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regulatory approval of their product candidates.</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and our collaborators, if any, may experience numerous unforeseen events during, or as a result of, clinical trials that could delay or prevent our ability to receive regulatory approval or commercialize any product candidates we may identify and develop, including:</w:t>
      </w:r>
    </w:p>
    <w:p>
      <w:pPr>
        <w:spacing w:after="0" w:line="54"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not authorize us or our investigators to commence a clinical trial or conduct a clinical trial at a prospective trial site;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left="520" w:right="2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preclinical studies or clinical trials of any product candidates we may develop may be insufficient or inadequate, including as a result of delays in the testing, validation, manufacturing, and delivery of any product candidates we may develop to the preclinical study sites or clinical sites by us or by third parties with whom we have contracted to perform certain of those functions;</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68"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any such product candidates we may develop or not obtain regulatory approval at all;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REMS, or through modification to an existing REMS;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regulatory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access or a significant delay in accessing animal research models may materially adversely affect our ability to advance our preclinical programs and successfully develop any product candidates we may identify, which could result in significant harm to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Consistent with various rules, regulations and current good manufacturing practices (“cGMP”), our ability to advance our preclinical programs and successfully develop any product candidates we may identify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any product candidates we may identify and this could result in significant harm to our business. During the COVID-19 pandemic, researchers and CROs (including those engaged by us) experienced significant limitations in their access to animal research models, specifically including a sharp reduction in the availability of non-human primates (“NHPs”) originating from breeding farms in Southeast Asia and limited access to the generation of genetically-modified rodent models used in efficacy evaluations. Prior to the pandemic, China was the leading exporter of NHPs employed in basic and applied research; however, early in 2020, China ceased exportation of cynomolgus monkeys, the species most commonly involved in pharmaceutical product development. This change in the world supply of a critical research model has resulted in increased demand from breeding farms principally located in Cambodia, Vietnam, and Mauritius Island, with a resultant marked increase in unit pricing. Consequently, this has further exacerbated an already constrained NHP supply for research purposes.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us, our ability to advance our preclinical programs and successfully develop any preclinical candidates we may identify may be materially adversely affected or significantly delayed.</w:t>
      </w:r>
    </w:p>
    <w:p>
      <w:pPr>
        <w:spacing w:after="0" w:line="192"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2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Regulatory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regulatory approval outside the United States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360"/>
        <w:spacing w:after="0" w:line="282" w:lineRule="auto"/>
        <w:rPr>
          <w:sz w:val="20"/>
          <w:szCs w:val="20"/>
          <w:color w:val="auto"/>
        </w:rPr>
      </w:pPr>
      <w:r>
        <w:rPr>
          <w:rFonts w:ascii="Times New Roman" w:cs="Times New Roman" w:eastAsia="Times New Roman" w:hAnsi="Times New Roman"/>
          <w:sz w:val="18"/>
          <w:szCs w:val="18"/>
          <w:color w:val="auto"/>
        </w:rPr>
        <w:t>international markets are delayed, our target market will be reduced and our ability to realize the full market potential of our product candidates will be unrealized.</w:t>
      </w:r>
    </w:p>
    <w:p>
      <w:pPr>
        <w:spacing w:after="0" w:line="15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or any of our collaborators or strategic partners, obtain regulatory approvals for any product candidates we may develop, the terms of approvals and ongoing regulation of such product candidates could require the substantial expenditure of resources and may limit how we, or they, manufacture and market such product candidates, which could materially impair our ability to generate revenue.</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facility registration and drug listing requirements, cGMP relating to quality control, quality assurance and corresponding maintenance of records and documents, applicable product tracking and tracing requirements and requirements regarding the distribution of samples to physicians and recordkeeping. In addition, our manufacturing and testing facilities will be required to undergo pre-license inspections and pre-approval inspections. Even if regulatory approval of a product candidate is granted, the approval may be subject to limitations on the indicated uses for which the products may be marketed or to the conditions of approval, or contain requirements for costly post-marketing testing and surveillance to monitor the safety or efficacy of the products.</w:t>
      </w:r>
    </w:p>
    <w:p>
      <w:pPr>
        <w:spacing w:after="0" w:line="19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Accordingly, assuming we, or any collaborators we may have, receive regulatory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regulatory approvals for our products withdrawn by regulatory authorities and our, or such collaborators’, ability to market any future products could be limited, which could adversely affect our ability to achieve or sustain profitability. Furthermore, the cost of compliance with post-approval regulations may have a negative effect on our business, operating results, financial condition and prospects.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exclusivity for our potential product candidates, and even if we do, that designation may not provide an expedited development or regulatory review or approval process and any orphan drug exclusivity we may receive for approved products may not prevent the FDA or the EMA from approving other competing products.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potential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20"/>
        <w:spacing w:after="0" w:line="254" w:lineRule="auto"/>
        <w:rPr>
          <w:sz w:val="20"/>
          <w:szCs w:val="20"/>
          <w:color w:val="auto"/>
        </w:rPr>
      </w:pPr>
      <w:r>
        <w:rPr>
          <w:rFonts w:ascii="Times New Roman" w:cs="Times New Roman" w:eastAsia="Times New Roman" w:hAnsi="Times New Roman"/>
          <w:sz w:val="18"/>
          <w:szCs w:val="18"/>
          <w:color w:val="auto"/>
        </w:rPr>
        <w:t>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carry pollution insurance to protect against possible biological or hazardous waste accidents. However,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are also exposed to risks in connection with any insider trading violations by employees or others affiliated with us.</w:t>
      </w:r>
    </w:p>
    <w:p>
      <w:pPr>
        <w:spacing w:after="0" w:line="1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adopted a code of conduct and an insider trading policy applicable to all of our employees, but it is not always possible to identify and deter employee misconduct, and the precautions we take to detect and prevent this activity may not be effective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80"/>
        <w:spacing w:after="0" w:line="261" w:lineRule="auto"/>
        <w:rPr>
          <w:sz w:val="20"/>
          <w:szCs w:val="20"/>
          <w:color w:val="auto"/>
        </w:rPr>
      </w:pPr>
      <w:r>
        <w:rPr>
          <w:rFonts w:ascii="Times New Roman" w:cs="Times New Roman" w:eastAsia="Times New Roman" w:hAnsi="Times New Roman"/>
          <w:sz w:val="18"/>
          <w:szCs w:val="18"/>
          <w:color w:val="auto"/>
        </w:rPr>
        <w:t>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any product candidates we may develop in human clinical trials and will face an even greater risk if we commercially sell such product candidates. If we cannot successfully defend ourselves against claims that our product candidates caused injuries, we could incur substantial liabilities. Regardless of merit or eventual outcome, liability claims may result in:</w:t>
      </w:r>
    </w:p>
    <w:p>
      <w:pPr>
        <w:spacing w:after="0" w:line="68"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clinical trials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or those of our third-party vendors, collaborators, contractors, consultants or other third parties, may fail, become unavailable, or suffer security incidents or data breaches, loss or leakage of data and other disruptions, which could result in a material disruption of our product development programs, compromise confidential, sensitive or personal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those of our current and any future third-party vendors, collaborators, contractors, consultants or other third parties, are vulnerable to damage or interruption from, among other things, computer viruses, computer hackers, phishing attacks, ransomware, malware, social engineering, service interruptions, system malfunction, malicious code, employee theft, fraud, misconduct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we have in the past and may in the future experience phishing and other security incidents which could result in a disruption of our development programs and our business operations, whether due to a loss of our trade secrets or other proprietary, personal or confidential information or other disruptions. For example, the loss of clinical trial data from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Controls employed by our information technology department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cybersecurity attack attributed to our third-party vendors as they relate to the information we share with them.</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were to experience a cybersecurity breach or other security incident relating to our information systems or data, the costs, time and effort associated with the investigation, remediation and potential notification of the breach to counterparties, regulators and data subjects could be material. We may incur significant costs in an effort to detect and prevent security incidents, and we may face increased costs and requirements to expend substantial resources in the event of an actual or perceived security incident. In addition, techniques used to sabotage or to obtain unauthorized access to networks in which data is stored or through which data is transmitted change frequently, become more complex over time and generally are not recognized until launched against a target. The risk of a security breach or disruption, particularly through cyberattacks including supply chain attacks such as SolarWinds or cyber intrusion, including by computer hackers, foreign governments, and cyber terrorists, has generally increased as the number, intensity, and sophistication of attempted attacks and intrusions from around the world have increased. As a result, we and our third-party vendors may be unable to anticipate these techniques or implement adequate preventative measures quickly enough to prevent either an electronic intrusion into our systems or services or a compromise of critical information. We cannot guarantee that we will be able to</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1" w:name="page62"/>
    <w:bookmarkEnd w:id="61"/>
    <w:p>
      <w:pPr>
        <w:ind w:right="40"/>
        <w:spacing w:after="0" w:line="255" w:lineRule="auto"/>
        <w:rPr>
          <w:sz w:val="20"/>
          <w:szCs w:val="20"/>
          <w:color w:val="auto"/>
        </w:rPr>
      </w:pPr>
      <w:r>
        <w:rPr>
          <w:rFonts w:ascii="Times New Roman" w:cs="Times New Roman" w:eastAsia="Times New Roman" w:hAnsi="Times New Roman"/>
          <w:sz w:val="18"/>
          <w:szCs w:val="18"/>
          <w:color w:val="auto"/>
        </w:rPr>
        <w:t>detect or prevent any such incidents, and, our remediation efforts may not be successful or timely. Our efforts to improve security and protect data from compromise may also identify previously undiscovered instances of data breaches or other cybersecurity incidents.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personal or confidential information. Additionally, we do not currently maintain cybersecurity insurance, and any insurance we may maintain in the future against the risk of this type of loss in the future may not be sufficient to cover actual losses, or may not apply to the circumstances relating to any particular loss.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third-party vendors’, collaborators’, contractors’, consultants’ or other third parties’ data, including personal data, or applications or inappropriate disclosure, loss, destruction or alteration of, or access to, confidential, personal or proprietary information, we could incur significant liability including litigation exposure, substantial penalties and fines, we could become the subject of regulatory action, inquiry or investigation, our competitive position could be harmed, we could incur significant reputational damage and the further development and commercialization of any product candidates we may develop could be delayed. Any of the above could have a material adverse effect on our business, financial condition, results of operations or prospects.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often unsettled laws, rules, regulations, policies, standards and contractual obligations related to data privacy and security and changes in such laws, rules, regulations, policies, standards and contractual obligations could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data privacy and protection laws, rules, regulations, policies, standards and contractual obligations that apply to the</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40"/>
        <w:spacing w:after="0" w:line="253" w:lineRule="auto"/>
        <w:rPr>
          <w:sz w:val="20"/>
          <w:szCs w:val="20"/>
          <w:color w:val="auto"/>
        </w:rPr>
      </w:pPr>
      <w:r>
        <w:rPr>
          <w:rFonts w:ascii="Times New Roman" w:cs="Times New Roman" w:eastAsia="Times New Roman" w:hAnsi="Times New Roman"/>
          <w:sz w:val="18"/>
          <w:szCs w:val="18"/>
          <w:color w:val="auto"/>
        </w:rPr>
        <w:t>collection, transmission, storage, use, disclosure, transfer, maintenance and other processing of sensitive, personal and personally-identifying information, which, among other things, impose certain requirements relating to the privacy, security, transmission and other processing of personal information, including comprehensive regulatory systems in the United States and European Union. The legislative and regulatory landscape for privacy and data protection continues to evolve in jurisdictions worldwide, and there has been an increasing focus on privacy and data protection issues with the potential to affect our business. However, our data privacy program is in its early stages and we have not yet assessed the applicability of and our compliance with data privacy-related laws, rules and regulations. As a result, we cannot guarantee that we are and have been in compliance with all applicable data privacy and protection laws, rules regulations, policies and standards, and we may need to expend significant resources to implement privacy compliance measures. Additionally, we rely on certain third-party vendors to process certain confidential, sensitive or personal information on our behalf. Failure by us or our third-party vendors to comply with any of these laws, rules, regulations, contractual obligations or standards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rules and regulations related to the privacy and security of personal information. In particular, regulations promulgated pursuant to the Health Insurance Portability and Accountability Act of 1996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The Genetic Information Nondiscrimination Act of 2008 (“GINA”), which clarified that genetic information is protected under HIPAA and restricts the use and disclosure of genetic information.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laws in all 50 states require businesses to provide notice to customers whose personally identifiable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information has been handled in compliance with applicable privacy standards and our contractual obligations can be complex and may be subject to changing interpretation.</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personal information, we could be alleged or actually found to have breached our contracts. Furthermore, if we fail to comply with applicable privacy laws, including applicable HIPAA privacy and security standards, we could face significant administrative, civil and criminal penalties. HHS has the discretion to impose penalties without attempting to resolve violations through informal means,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laws, rules and regulations coming into effect and continued legal challenges. For example, California enacted the California Consumer Privacy Act of 2018 (“CCPA”), which went into effect on January 1, 2020 and, among other things,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Additionally, California voters approved the California Privacy Rights Act (“CPRA”), which went into effect on January 1, 2023. The CPRA significantly modifies the CCPA,</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20"/>
        <w:spacing w:after="0" w:line="255" w:lineRule="auto"/>
        <w:rPr>
          <w:sz w:val="20"/>
          <w:szCs w:val="20"/>
          <w:color w:val="auto"/>
        </w:rPr>
      </w:pPr>
      <w:r>
        <w:rPr>
          <w:rFonts w:ascii="Times New Roman" w:cs="Times New Roman" w:eastAsia="Times New Roman" w:hAnsi="Times New Roman"/>
          <w:sz w:val="18"/>
          <w:szCs w:val="18"/>
          <w:color w:val="auto"/>
        </w:rPr>
        <w:t>including by introducing additional obligations such as data minimization and storage limitations and granting additional rights to California residents such as correction of personal information and additional opt-out rights. The CPRA also creates a new state agency that will be vested with authority to implement and enforce the CCPA and the CPRA. The enactment of the CCPA is prompting a wave of similar legislative developments in other states and at the federal level, reflecting a trend toward more stringent privacy legislation in the United States. For example, at least four such state laws (in Virginia, Colorado, Connecticut and Utah) have taken effect, or are scheduled to take effect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efforts to comply with the evolving data protection laws, rules and regulations may be unsuccessful. It is possible that these laws, rules and regulations may be interpreted and applied in a manner that is inconsistent with our practices and our efforts to comply with the evolving data protection rules may be unsuccessful. The laws are not consistent, and compliance in the event of a widespread data breach is costly and time-consuming. States are also frequently amending existing laws, requiring attention to frequently changing regulatory requirements. We must devote significant resources to understanding and complying with this changing landscape. Failure by us or our third-party vendors to comply with laws, rules and regulations regarding data privacy and protection would expose us to risk of enforcement actions taken by data protection authorities and carries with it the potential for significant penalties if we are found to be non-compliant. Similarly, failure to comply with federal and state laws, rules and regulations in the United States regarding privacy and security of personal information could expose us to penalties under such laws, rules and regulations. Any such failure by us or our third-party vendors to comply with data protection and privacy laws, rules and regulations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collaborators and corporate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any product candidates we may develop.</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part of our strategy, we have entered into collaborations and intend to seek to enter into additional collaborations with third parties for one or more of our programs or product candidates we may develop. For example, in June 2022, we entered into a Development, Option and License Agreement with Affini-T Therapeutics, Inc. (“Affini-T”)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Pharmaceuticals, Inc. (“Ionis”) to research, develop and commercialize investigational medicines using genome editing technologies. Our likely collaborators for any other collaboration arrangements include large and mid-size pharmaceutical companies, regional and national pharmaceutical companies and biotechnology companies. We have under these agreements, and we may have under any other arrangements that we may enter into with any third parties, limited control over the amount and timing of resources that collaborators dedicate to the development or commercialization of our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540"/>
        <w:spacing w:after="0" w:line="282" w:lineRule="auto"/>
        <w:rPr>
          <w:sz w:val="20"/>
          <w:szCs w:val="20"/>
          <w:color w:val="auto"/>
        </w:rPr>
      </w:pPr>
      <w:r>
        <w:rPr>
          <w:rFonts w:ascii="Times New Roman" w:cs="Times New Roman" w:eastAsia="Times New Roman" w:hAnsi="Times New Roman"/>
          <w:sz w:val="18"/>
          <w:szCs w:val="18"/>
          <w:color w:val="auto"/>
        </w:rPr>
        <w:t>product candidates. Our ability to generate revenue from these arrangements may depend on our collaborators’ abilities to successfully perform the functions assigned to them in these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preclinical studies and clinical trials, provide insufficient funding for a preclinical study or clinical trial program, stop a preclinical study or clinical trial or abandon a product candidate, repeat or conduct new preclinical studies or clinical trials or require a new formulation of a product candidate for preclinical or clinical testing;</w:t>
      </w:r>
    </w:p>
    <w:p>
      <w:pPr>
        <w:spacing w:after="0" w:line="67"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or other rights developed pursuant to our collaborations;</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current or future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5" w:name="page66"/>
    <w:bookmarkEnd w:id="65"/>
    <w:p>
      <w:pPr>
        <w:ind w:right="540"/>
        <w:spacing w:after="0" w:line="282" w:lineRule="auto"/>
        <w:rPr>
          <w:sz w:val="20"/>
          <w:szCs w:val="20"/>
          <w:color w:val="auto"/>
        </w:rPr>
      </w:pPr>
      <w:r>
        <w:rPr>
          <w:rFonts w:ascii="Times New Roman" w:cs="Times New Roman" w:eastAsia="Times New Roman" w:hAnsi="Times New Roman"/>
          <w:sz w:val="18"/>
          <w:szCs w:val="18"/>
          <w:color w:val="auto"/>
        </w:rPr>
        <w:t>product development, regulatory approval and commercialization described in this Quarterly Report on Form 10-Q also apply to the activities of our collaborators.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Collaboration agreements may require us to incur non-recurring and other charges, increase our near- and long-term expenditures, issue securities that dilute our existing stockholders, or disrupt our management and business. For more information, see the section titled “Business—Our License and Collaboration Agreements.”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spacing w:after="0" w:line="17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54"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strategic partners may control aspects of our clinical trials, which could result in delays and other obstacles in the commercialization of our proposed products and materially harm our results of operations.</w:t>
      </w:r>
    </w:p>
    <w:p>
      <w:pPr>
        <w:spacing w:after="0" w:line="5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some programs, we will depend on third party collaborators and strategic partners to design and conduct our clinical trials. As a result, we may not be able to conduct these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our business could be negatively affected.</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June 2022, we entered into a Development, Option and License Agreement with Affini-T to develop and commercialize gene edited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to research, develop and commercialize investigational medicines for up to eight potential genetic targets using genome editing technologies. Our lack of control over the clinical development in our agreements with Affini-T and Ionis could cause delays or other difficulties in the development and commercialization of product candidates, which may prevent completion of intended IND applications in a timely fashion, if at all.</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the termination of these agreements would prevent us from receiving any milestone, royalty payments and other benefits under that agreement, which would have a materially adverse effect on our results of operations.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or strategic partners may decide to adopt alternative technologies or may be unable to develop commercially viable products with our technology, which would negatively impact our revenues and our strategy to develop these products.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collaborators or strategic partners may adopt alternative technologies, which could decrease the marketability of our genome editing technology. Additionally, because our current or future collaborators or strategic partners are likely to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genome 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40"/>
        <w:spacing w:after="0" w:line="261" w:lineRule="auto"/>
        <w:rPr>
          <w:sz w:val="20"/>
          <w:szCs w:val="20"/>
          <w:color w:val="auto"/>
        </w:rPr>
      </w:pPr>
      <w:r>
        <w:rPr>
          <w:rFonts w:ascii="Times New Roman" w:cs="Times New Roman" w:eastAsia="Times New Roman" w:hAnsi="Times New Roman"/>
          <w:sz w:val="18"/>
          <w:szCs w:val="18"/>
          <w:color w:val="auto"/>
        </w:rPr>
        <w:t>We expect to rely on third parties, such as CROs, clinical data management organizations, medical institutions, preclinical laboratories and clinical investigators, to conduct some aspects of our research. For example, we may rely on a third party to supply LNPs or AAVs, or to conduct our preclinical animal experiments. Any of these third parties may terminate their engagements with us at any time under certain criteria. If we need to enter into alternative arrangements, it may delay our product development activities.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clinical research and other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In the United States, we also are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preclinical studies and clinical trials for our potential product candidates, CROs will conduct some or all of the preclinical studies and clinical trials. As a result, many important aspects of our development programs, including their conduct and timing, will be outside of our direct control. Our reliance on third parties to conduct preclinical studies and future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Among other reasons that may delay or impact the development of our potential product candidates, outside parties may:</w:t>
      </w:r>
    </w:p>
    <w:p>
      <w:pPr>
        <w:spacing w:after="0" w:line="79"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such preclinical studies and future clinical trials in a satisfactory manner, breach their obligations to us or fail to comply with regulatory requirements, the development, regulatory approval and commercialization of our potential product candidates may be delayed, we may not be able to obtain regulatory approval and commercialize our potential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also expect to rely on other third parties to store and distribute drug supplies for our future clinical trials. Any performance failure on the part of our distributors could delay clinical development or regulatory approval of any product candidates we may develop or commercialization of our therapies, producing additional losses and depriving us of potential product revenue.</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Manufacturing biologic products is complex and subject to product loss for a variety of reasons. We contract with third parties for the manufacture of certain materials for our development programs and expect to continue to do so for clinical trials and commercialization. This reliance on third parties increases the risk that we will not have sufficient quantities of our future product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and are expanding our cGMP manufacturing facility which is currently capable of manufacturing clinical grade nucleases and mRNA to supply both wholly-owned and collaboration programs. We also partner with CMOs for guide RNA (“gRNA”) and DNA template development and supply. We also rely, and expect to continue to rely, on third parties for gRNA and DNA template development and supply, as well as for preclinical and clinical testing and commercial manufacture if any of our product candidates receive regulatory approval. We also expect to rely on these third parties for certain logistics, including packaging, labeling, storage, and distribution. This reliance on third parties increases the risk that we will not have sufficient quantities of our materials or future product candidates or products or such quantities at an acceptable cost or quality, which could delay, prevent or impair our development or commercialization efforts.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encounter shortages in the raw materials or active pharmaceutical ingredients necessary to produce our future product candidates in the quantities needed for our preclinical studies or clinical trials or, if our future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 by our competitors or others. The failure of us or our third-party manufacturers to obtain the raw materials or active pharmaceutical ingredients necessary to manufacture sufficient quantities of our future product candidates may have a material adverse effect on our business.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Components of a finished therapeutic product approved for commercial sale or used in late-stage clinical trials must be manufactured in accordance with cGMP. We, along with our third-party manufacturers, are subject to inspection and approval by regulatory authorities before we can commence the manufacture and sale of any of our future product candidates, and thereafter subject to ongoing inspection from time to time. We or our third-party manufacturers may not be able to comply with cGMP or similar regulatory requirements outside of the United States.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Manufacturing biologic products, such as the product candidates we intend to develop, is complex, especially in large quantities. Biologic products must be made consistently and in compliance with a clearly defined manufacturing process. Accordingly, it is essential to be able to validate and control the manufacturing process to assure that it is reproducible. Any product candidates and products that we may develop may compete with other product candidates and products for access to manufacturing facilities. As a result, we may not obtain access to these facilities on a priority basis or at all. There are a limited number of manufacturers that operate under cGMP and that might be capable of manufacturing for us.</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We do not currently have arrangements in place for redundant supply or a source for bulk drug substance nor do we have any agreements with third-party manufacturers for long-term commercial supply. If any of our contract manufacturers cannot perform as agreed, we may be required to replace such manufacturers. Although we believe that there are several potential alternative manufacturers who could manufacture materials or future product candidates or products we may develop, we may incur added costs and delays in identifying and qualifying any such replacement or be unable to reach agreement with an alternative manufacturer. If we are required to change third party-manufacturers for any reason, we will be required to verify that the new third party-manufacturer maintains facilities and procedures that comply with quality standards and with all applicable regulations. We will also need to verify, such as through a manufacturing comparability study, that any new manufacturing process will produce our materials or future product candidates or products according to the specifications previously submitted to the FDA or another regulatory authority. The delays associated with the verification of a new third party-manufacturer could negatively affect our ability to develop product candidates or commercialize our products in a timely manner or within budget. Furthermore, a third party-manufacturer may possess technology related to the manufacture of our materials or future product candidates or products that such third party-manufacturer owns independently. This would increase our reliance on such third party-manufacturer or require us to obtain a license from such third party-manufacturer in order to have another third party-manufacturer manufacture our materials or future product candidates or products, which may not be available on commercially reasonable terms, or at all.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materials and any future product candidates or products we may develop may adversely affect our future profit margins and our ability to commercialize any products that receive regulatory approval on a timely and competitive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that we may develop for which we obtain regulatory approval and marketing approval. Our current and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including certain laws and regulations applicable only if we have marketed products, include the following:</w:t>
      </w:r>
    </w:p>
    <w:p>
      <w:pPr>
        <w:spacing w:after="0" w:line="79" w:lineRule="exact"/>
        <w:rPr>
          <w:sz w:val="20"/>
          <w:szCs w:val="20"/>
          <w:color w:val="auto"/>
        </w:rPr>
      </w:pPr>
    </w:p>
    <w:p>
      <w:pPr>
        <w:ind w:left="520" w:right="20" w:hanging="512"/>
        <w:spacing w:after="0" w:line="258"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FCA, prohibits knowingly presenting or causing the presentation of a false, fictitious or fraudulent claim for payment to the U.S. government. Actions under the FCA may be brought by the Attorney General or as a qui tam action by a private individual in the name of the government. Violations of the FCA can result in very significant monetary penalties, for each false claim and treble the amount of the government’s damages. Manufacturers can be held liable under the FCA even when they do not submit claims directly to government payors if they are deemed to “cause” the submission of false or fraudulent claims;</w:t>
      </w:r>
    </w:p>
    <w:p>
      <w:pPr>
        <w:spacing w:after="0" w:line="75" w:lineRule="exact"/>
        <w:rPr>
          <w:rFonts w:ascii="Times New Roman" w:cs="Times New Roman" w:eastAsia="Times New Roman" w:hAnsi="Times New Roman"/>
          <w:sz w:val="18"/>
          <w:szCs w:val="18"/>
          <w:color w:val="auto"/>
        </w:rPr>
      </w:pPr>
    </w:p>
    <w:p>
      <w:pPr>
        <w:ind w:left="520" w:right="60" w:hanging="512"/>
        <w:spacing w:after="0" w:line="25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spacing w:after="0" w:line="79"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67"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53" w:lineRule="exact"/>
        <w:rPr>
          <w:rFonts w:ascii="Times New Roman" w:cs="Times New Roman" w:eastAsia="Times New Roman" w:hAnsi="Times New Roman"/>
          <w:sz w:val="18"/>
          <w:szCs w:val="18"/>
          <w:color w:val="auto"/>
        </w:rPr>
      </w:pPr>
    </w:p>
    <w:p>
      <w:pPr>
        <w:ind w:left="520" w:right="20" w:hanging="512"/>
        <w:spacing w:after="0" w:line="253"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created under the Patient Protection and Affordable Care Act as amended by the Health Care and Education Reconciliation Act of 2010 (collectively, the ACA), and its implementing regulations, which requires manufacturers of certain drugs, devices, medical supplies, and biologics, among others, to track and disclose payments under Medicare, Medicaid or the Children’s Health Insurance Program (with certain exceptions) and other transfers of value they make to U.S.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This information is subsequently made publicly available in a searchable format on a Centers for Medicare &amp; Medicaid Services (“CMS”) website. Failure to disclose required information may result in civil monetary penalties for all payments, transfers of value or ownership or investment interests that are not timely, accurately and completely reported in an annual submission. Certain states also mandate implementation of compliance programs, impose restrictions on drug manufacturer marketing practices and/ or require the tracking and reporting of gifts, compensation and other remuneration to physicians and/or other healthcare providers; and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left="520" w:right="3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significant penalties, including civil and criminal penalties, damages, fines, exclusion from participation in government healthcare programs, such as Medicare and Medicaid, individual imprisonment, and the curtailment or restructuring of our operations, any of which could adversely affect our business, financial condition, results of operations, and prospects.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also induce or reward improper performance generally is governed by the national anti-bribery laws of European Union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Personnel, Operations, and Growth</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highly dependent on Brian C. Thomas, our Chief Executive Officer as well as the other principal members of our management and scientific teams. Dr. Thomas and such other principal members are engaged “at will,” meaning we or they may terminate the relationship at any time. We do not maintain “key person” insurance for any of our executives or other employees. The loss of the services of any of these persons could impede the achievement of our research, development and commercialization objectives. For us to successfully compete and grow, we must recruit, retain, and develop talent who can provide the necessary expertise across a broad spectrum of disciplines. In addition, we must develop, maintain and, as necessary, implement appropriate succession plans to ensure we have the necessary human capital capable of maintaining continuity in our business.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In addition, our company-building efforts and establishment of a company culture will also be important to developing an innovative company in a high-evolving area. We may not be able to succeed in these efforts to build Metagenomi as an attractive and exciting place to build a career or to attract and retain these types of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We may also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70" w:name="page71"/>
    <w:bookmarkEnd w:id="7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fail to manage our growth effectively. As of June 30, 2024, we had 228 full-time employees, of which 76 have M.D. or Ph.D. degrees. Within our workforce, 193 employees are engaged in research and development and 35 are engaged in business development, finance, legal, and general management and administration. In connection with the growth and advancement of our pipeline and becoming a public company, we expect to increase the number of our employees and the scope of our operations, particularly in the areas of research and clinical development, regulatory affairs and, if any of our future product candidates receive regulatory approval,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growing biotechnology company, we are actively developing our platform technology and pursuing development of future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We will need to transition from a company with a research focus to a company capable of conducting clinical trials and ultimately supporting commercial activities if any of our product candidates are approved. We may not be successful in such a transition.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the future development and expansion of our company, and may prevent us from achieving or maintaining profitability. We cannot assure you that we will be able to compete effectively in the future against existing or new competitors, and our failure to do so could harm our business, financial condition, and results of operations.</w:t>
      </w:r>
    </w:p>
    <w:p>
      <w:pPr>
        <w:spacing w:after="0" w:line="1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biologics or modifications to approved biologics to be reviewed and/or approved by necessary government agencies, which would adversely affect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genome editing systems may be adversely affected.</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rights protection through patents, trademarks, and trade secrets in the United States and other countries with respect to our proprietary genome editing systems.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have filed patent applications and may file other patent applications in the United States or abroad related to our genome editing systems that are important to our business; we may also license or purchase patents or patent applications filed by others. The patent application process is expensive, time-consuming and complex. We may not be able to file, prosecute, maintain, enforce or license all necessary or desirable patent applications at a reasonable cost or in a timely manner.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ind w:right="40"/>
        <w:spacing w:after="0" w:line="258" w:lineRule="auto"/>
        <w:rPr>
          <w:sz w:val="20"/>
          <w:szCs w:val="20"/>
          <w:color w:val="auto"/>
        </w:rPr>
      </w:pPr>
      <w:r>
        <w:rPr>
          <w:rFonts w:ascii="Times New Roman" w:cs="Times New Roman" w:eastAsia="Times New Roman" w:hAnsi="Times New Roman"/>
          <w:sz w:val="18"/>
          <w:szCs w:val="18"/>
          <w:color w:val="auto"/>
        </w:rPr>
        <w:t>We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it and consequently, we may not be able to prevent third parties from using such inventions.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genome editing systems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genome editing systems, patents protecting such genome editing systems might expire before or shortly after such genome editing systems are commercialized. As a result, our patent portfolio may not provide us with adequate and continuing patent protection sufficient to exclude others from commercializing products similar or identical to ours.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owned patents and pending patent applications, if issued, may not provide us with any meaningful protection or prevent competitors from designing around our patent claims to circumvent our patent portfolio by developing similar or alternative genome editing systems in a non-infringing manner. For example, a third party may develop a genome editing system that provides benefits similar to our genome editing systems but falls outside the scope of our patent protection or license rights. If the patent protection provided by the patent and patent applications we hold or pursue with respect to our genome editing systems is not sufficiently broad to impede such competition, our ability to successfully commercialize our product genome editing systems could be negatively affected, which would harm our business.</w:t>
      </w:r>
    </w:p>
    <w:p>
      <w:pPr>
        <w:spacing w:after="0" w:line="18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invalid and/or unenforceable, and such applications may never result in valid, enforceable patents. Periodic maintenance fees, renewal fees, annuity fees and various other government fees on patents and/or applications will be due to be paid to the U.S. Patent and Trademark Office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Any of these outcomes could impair our ability to prevent competition from third parties, which may have an adverse impact on our business.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carries uncertainty. In addition, the determination of patent rights with respect to genome editing technologies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t>applications in the United States and other jurisdictions are not published until 18 months after filing, or in some cases not at all.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may be challenged in the courts or patent offices in the United States and abroad. There is no assurance that all the potentially relevant prior art relating to our patent portfolio has been found.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challenges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19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 covering significant commercial markets, such as the European Patent Office, China, and Japan, restrict the patentability of methods of treatment of the human body more than United States law does. If these developments were to occur, they could have a material adverse effect on our ability to generate revenue.</w:t>
      </w:r>
    </w:p>
    <w:p>
      <w:pPr>
        <w:spacing w:after="0" w:line="18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future development partners will be successful in protecting our genome editing systems by obtaining and defending patents. These risks and uncertainties include the following:</w:t>
      </w:r>
    </w:p>
    <w:p>
      <w:pPr>
        <w:spacing w:after="0" w:line="68" w:lineRule="exact"/>
        <w:rPr>
          <w:sz w:val="20"/>
          <w:szCs w:val="20"/>
          <w:color w:val="auto"/>
        </w:rPr>
      </w:pPr>
    </w:p>
    <w:p>
      <w:pPr>
        <w:jc w:val="both"/>
        <w:ind w:left="520" w:right="40" w:hanging="512"/>
        <w:spacing w:after="0" w:line="26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our genome editing systems;</w:t>
      </w:r>
    </w:p>
    <w:p>
      <w:pPr>
        <w:spacing w:after="0" w:line="67" w:lineRule="exact"/>
        <w:rPr>
          <w:rFonts w:ascii="Times New Roman" w:cs="Times New Roman" w:eastAsia="Times New Roman" w:hAnsi="Times New Roman"/>
          <w:sz w:val="18"/>
          <w:szCs w:val="18"/>
          <w:color w:val="auto"/>
        </w:rPr>
      </w:pPr>
    </w:p>
    <w:p>
      <w:pPr>
        <w:ind w:left="520" w:right="200" w:hanging="512"/>
        <w:spacing w:after="0" w:line="312" w:lineRule="auto"/>
        <w:tabs>
          <w:tab w:leader="none" w:pos="5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31" w:lineRule="exact"/>
        <w:rPr>
          <w:rFonts w:ascii="Times New Roman" w:cs="Times New Roman" w:eastAsia="Times New Roman" w:hAnsi="Times New Roman"/>
          <w:sz w:val="17"/>
          <w:szCs w:val="17"/>
          <w:color w:val="auto"/>
        </w:rPr>
      </w:pPr>
    </w:p>
    <w:p>
      <w:pPr>
        <w:ind w:left="520" w:right="80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 and</w:t>
      </w:r>
    </w:p>
    <w:p>
      <w:pPr>
        <w:spacing w:after="0" w:line="53"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right="240"/>
        <w:spacing w:after="0" w:line="255"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w:t>
      </w:r>
    </w:p>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for our proprietary genome editing systems, as well as on successfully defending these patents against potential third-party challenges. Our ability to protect our genome editing systems from unauthorized making, using, selling, offering to sell or importing by third parties is dependent on the extent to which we have rights under valid and enforceable patents that cover these activities.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genome editing systems and/or materially harm our business.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challenges during litigation, third parties can challenge the validity of our patents in the United States using post-grant review and inter partes review proceedings, which some third parties have been using to cause the cancellation of selected or all claims of issued patents of competitors. For a patent filed March 16, 2013 or later, a petition for post-grant review can be filed by a</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t>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520" w:right="26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data to support full patent applications that protect the entire breadth of developments in one or more of our programs;</w:t>
      </w:r>
    </w:p>
    <w:p>
      <w:pPr>
        <w:spacing w:after="0" w:line="53" w:lineRule="exact"/>
        <w:rPr>
          <w:rFonts w:ascii="Times New Roman" w:cs="Times New Roman" w:eastAsia="Times New Roman" w:hAnsi="Times New Roman"/>
          <w:sz w:val="18"/>
          <w:szCs w:val="18"/>
          <w:color w:val="auto"/>
        </w:rPr>
      </w:pPr>
    </w:p>
    <w:p>
      <w:pPr>
        <w:jc w:val="both"/>
        <w:ind w:left="520" w:right="280" w:hanging="512"/>
        <w:spacing w:after="0" w:line="312" w:lineRule="auto"/>
        <w:tabs>
          <w:tab w:leader="none" w:pos="5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pending applications issue as patents, they may be challenged by third parties as invalid or unenforceable under United States or foreign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commercialize our genome editing systems, if approved, before our relevant patents expire;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make the inventions covered by our patent portfolio;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or genome editing systems that are separately patentable.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extent that we are unable to obtain and maintain patent protection for our genome editing systems, or in the event that such patent protection expires, it may no longer be cost-effective to extend our portfolio by pursuing additional development of any of our genome editing systems for follow-on indications.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United States Patent and Trademark Office in granting a patent, or may be shortened if a patent is terminally disclaimed over an earlier-filed patent.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Given the amount of time required for the development, testing and regulatory review of new genome editing systems, patents protecting such genome editing systems might expire before or shortly after such genome editing systems are commercialized.</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a Patent Term Extension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Further, PTE may only be applied once per product, and only with respect to an approved indication—in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are prosecuting patents and we likewise anticipate applying for such extensions.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20"/>
        <w:spacing w:after="0" w:line="282" w:lineRule="auto"/>
        <w:rPr>
          <w:sz w:val="20"/>
          <w:szCs w:val="20"/>
          <w:color w:val="auto"/>
        </w:rPr>
      </w:pPr>
      <w:r>
        <w:rPr>
          <w:rFonts w:ascii="Times New Roman" w:cs="Times New Roman" w:eastAsia="Times New Roman" w:hAnsi="Times New Roman"/>
          <w:sz w:val="18"/>
          <w:szCs w:val="18"/>
          <w:color w:val="auto"/>
        </w:rPr>
        <w:t>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United States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U.S. Supreme Court has ruled on several patent cases in recent years; these cases often narrow the scope of patent protection available to inventions in the biotechnology and pharmaceutical spaces. For example,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the Supreme Court ruled that a “naturally occurring DNA segment is a product of nature and not patent eligible merely because it has been isolated,” and invalidated Myriad Genetics’ claims on the isolated BRCA1 and BRCA2 genes. Certain claims of our patent portfolio relate to genome editing systems. While we believe that our proprietary genome editing systems involve significant human intervention, components of the system, such as the isolated nucleases with no modifications, are derived from naturally-occurring products. To the extent that such claims are deemed to be directed to natural products, or to lack an inventive concept above and beyond an isolated natural product, a court may decide the claims are directed to patent-ineligible subject matter and are invalid. The application of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to biotechnology inventions has continued to develop and may continue to change over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rulings in cases or guidance or procedures issued by the USPTO relating to patent eligibility may have a negative impact on our business.</w:t>
      </w:r>
    </w:p>
    <w:p>
      <w:pPr>
        <w:spacing w:after="0" w:line="2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Amgen</w:t>
      </w:r>
      <w:r>
        <w:rPr>
          <w:rFonts w:ascii="Times New Roman" w:cs="Times New Roman" w:eastAsia="Times New Roman" w:hAnsi="Times New Roman"/>
          <w:sz w:val="18"/>
          <w:szCs w:val="18"/>
          <w:color w:val="auto"/>
        </w:rPr>
        <w:t xml:space="preserve">”), the U.S. Supreme Court held that certain of Amgen’s patent claims defined a class of antibodies by their function of binding to a particular antigen. The U.S. Supreme Court further wrote that because the patent claims defined the claimed class of antibodies only by their function of binding to a particular antigen, a skilled artisan would have to use significant trial and error to identify and make all of the molecules in that class. The U.S. Supreme Court ultimately held that Amgen failed to properly enable its patent claims. Certain claims of our patent portfolio relate to broad classes of gene editors. To the extent that a court finds that the skilled artisan would need significant trial and error to identify all the gene editors in that class, the court may find the claims invalid under </w:t>
      </w:r>
      <w:r>
        <w:rPr>
          <w:rFonts w:ascii="Times New Roman" w:cs="Times New Roman" w:eastAsia="Times New Roman" w:hAnsi="Times New Roman"/>
          <w:sz w:val="18"/>
          <w:szCs w:val="18"/>
          <w:i w:val="1"/>
          <w:iCs w:val="1"/>
          <w:color w:val="auto"/>
        </w:rPr>
        <w:t>Amgen</w:t>
      </w:r>
      <w:r>
        <w:rPr>
          <w:rFonts w:ascii="Times New Roman" w:cs="Times New Roman" w:eastAsia="Times New Roman" w:hAnsi="Times New Roman"/>
          <w:sz w:val="18"/>
          <w:szCs w:val="18"/>
          <w:color w:val="auto"/>
        </w:rPr>
        <w:t>.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Further, a new court system recently became operational in the European Union. The Unified Patent Court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seek or obtain patent protection throughout the world or enforce such patent protection once obtained.</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Filing, prosecuting, enforcing, and defending patents protecting our genome editing systems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protect our competitive position around our future product candidates, we may become involved in lawsuits to enforce our patents or other intellectual property, which could be expensive, time consuming and unsuccessful and which may result in our patents being found invalid or unenforceable.</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Competitors may seek to commercialize competitive products to our genome editing systems. In order to protect our competitive position, we may become involved in lawsuits asserting infringement of our patents, or misappropriation or other violations of other of our intellectual property rights. Litigation is expensive and time consuming and would likely divert the time and attention of our management and scientific personnel.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If we file a patent infringement lawsuit against a perceived infringer, such a lawsuit could provoke the defendant to counterclaim that we infringe their patents and/or that our patents are invalid and/or unenforceable. In patent litigation in the United States, it is commonplace for a defendant to counterclaim alleging invalidity and/or unenforceability. In any patent litigation there is a risk that a court will decide that the asserted patents are invalid or unenforceable, in whole or in part, and that we do not have the right to stop the defendant from using the invention at issue. With respect to a counterclaim of invalidity, we cannot be certain that there is no invalidating prior art of which we and the patent examiner were unaware during prosecution. There is also a risk that, even if the validity of such patents is upheld, the court will construe the patent claims narrowly or decide that we do not have the right to stop the other party from using the invention at issue on the grounds that our patent claims do not cover the invention. If any of our patents are found invalid or unenforceable, or construed narrowly, our ability to stop the other party from launching a competitive product would be materially impaired. Further, such adverse outcomes could limit our ability to assert those patents against future competitors. Loss of patent protection would have a material adverse impact on our business.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ind w:right="80"/>
        <w:spacing w:after="0" w:line="258" w:lineRule="auto"/>
        <w:rPr>
          <w:sz w:val="20"/>
          <w:szCs w:val="20"/>
          <w:color w:val="auto"/>
        </w:rPr>
      </w:pPr>
      <w:r>
        <w:rPr>
          <w:rFonts w:ascii="Times New Roman" w:cs="Times New Roman" w:eastAsia="Times New Roman" w:hAnsi="Times New Roman"/>
          <w:sz w:val="18"/>
          <w:szCs w:val="18"/>
          <w:color w:val="auto"/>
        </w:rPr>
        <w:t>Litigation often involves significant amounts of public disclosures. Such disclosures could have a materially adverse impact on our competitive position or our stock prices. During any litigation we would be required to produce voluminous records related to our patents and our research and development activities in a process called discovery. The discovery process may result in the disclosure of some of our confidential information. There could also be public announcements of the results of hearings, motions or other interim proceedings or developments. If securities analysts or investors perceive these results to be negative, it could adversely affect the price of our common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Litigation is inherently expensive, and the outcome is often uncertain. Any litigation likely would substantially increase our operating losses and reduce our resources available for development activities. Further,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As a result, we may conclude that even if a competitor is infringing any of our patents,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in the future, we in-license any patent rights,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Concurrently with an infringement litigation, third parties may also be able to challenge the validity of our patents before administrative bodies in the United States or abroad. Such mechanisms include re-examination, post grant review and equivalent proceedings in foreign jurisdictions, e.g., opposition proceedings. Such proceedings could result in revocation or amendment of our patents in such a way that they no longer cover our products, potentially negatively impacting any concurrent litigation.</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genome editing systems.</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genome editing systems without infringing, misappropriating or otherwise violating the intellectual property and other proprietary rights of third parties. However, our research, development and commercialization activities may be subject to claims that we infringe, misappropriate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our genome editing systems. If any third-party patents or patent applications are found to cover our genome editing systems, or their methods of use or manufacture, we may not be free to manufacture or market such genome editing systems as planned without obtaining a license, which may not be available on commercially reasonable terms, or at all.</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genome editing systems, including patent infringement lawsuits in the U.S. or abroad. There may be third-party patents or patent applications with claims to materials, formulations, methods of manufacture or methods for treatment related to the composition, use or manufacture of our genome editing systems. Third parties may assert infringement claims against us based on existing patents that they own or in-license or patents that may grant to them (or which they may in-license) in the future, regardless of the merit of such patents or infringement claims. If our defenses to such assertions of infringement were unsuccessful, we could be liable for a court-determined reasonable royalty on our existing sales and further damages to the patent owner (or licensee), such as lost profits. Such royalties and damages could be significant. If we are found to have willfully infringed the claims of a third party’s patent, the third party could be awarded treble damages and attorney’s fees. Further, unless we obtain a license to such patent, we may be precluded from commercializing the infringing genome editing system. Any of the aforementioned could have a material adverse effect on our business, financial condition, results of operations and prospects.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perform periodic searches for relevant patents and patent applications with respect to our genome editing systems, including Cas proteins and therapeutic applications, we cannot guarantee the completeness or thoroughness of any of our patent searches or analyses including, but not limited to, the identification of relevant patents, the scope of patent claims or the expiration of relevant patents, nor can we be certain that we have identified each and every patent and pending application in the United States and abroad that is relevant to or necessary for the commercialization of any of our genome editing systems in any jurisdiction. Because patent applications can take many years to issue, there may be currently pending patent applications which may later result in issued patents that any of our genome editing systems may be accused of infringing. In addition, third parties may obtain patents in the future and claim that use of our technologies infringes upon these patents. Accordingly, third parties may assert infringement claims against 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right="40"/>
        <w:spacing w:after="0" w:line="253" w:lineRule="auto"/>
        <w:rPr>
          <w:sz w:val="20"/>
          <w:szCs w:val="20"/>
          <w:color w:val="auto"/>
        </w:rPr>
      </w:pPr>
      <w:r>
        <w:rPr>
          <w:rFonts w:ascii="Times New Roman" w:cs="Times New Roman" w:eastAsia="Times New Roman" w:hAnsi="Times New Roman"/>
          <w:sz w:val="18"/>
          <w:szCs w:val="18"/>
          <w:color w:val="auto"/>
        </w:rPr>
        <w:t>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Numerous third-party U.S. and foreign issued patents and pending patent applications exist in the fields in which we are developing genome editing systems. Our genome editing systems make use of CRISPR-based technology, which is a field that is highly active for patent filings and complex litigation. As of June 2019, it was reported that approximately 2072 patent families worldwide related to CRISPR genome editing inventions and their uses. That number has continued to increase. The extensive patent filings related to CRISPR make it difficult for us to assess the full extent of relevant patents and pending applications that may cover our genome editing systems and their use or manufacture. There may be third-party patents or patent applications with claims to materials, formulations, methods of manufacture or methods for treatment related to the use or manufacture of our genome editing systems. We are aware of multiple patents and patent applications directed to CRISPR technologies, Cas molecules, and their uses in genome editing. For example, we are aware of patent portfolios related to CRISPR/Cas genome editing systems that are owned or co-owned by Sigma Aldrich, Stanford University and Agilent Technologies, the Broad Institute and/or Harvard University and/or the Massachusetts Institute of Technology (“MIT”), and Targetgene Biotechnologies. We are also aware of patent portfolios related to base editing systems that are owned or co-owned by Beam Therapeutics, the Broad Institute and/or Harvard University and/or MIT, the University of California, Duke University, Kobe University, the Max Planck Institute, Wageningen University, and Bioray Laboratories. We are also aware of patent portfolios related to CRISPR associated transposase/retro-transposase (“CAST”) systems that are owned or co-owned by the Broad Institute, Arbor Biotechnologies, and the University of Rochester.</w:t>
      </w:r>
    </w:p>
    <w:p>
      <w:pPr>
        <w:spacing w:after="0" w:line="18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Intellectual property litigation is common in the biotechnology space and multiple parties have engaged in litigation to protect and enforce their CRISPR/Cas related patent estates. For example, patents and patent applications directed to catalytically-active Cas9 systems have been the subject of extensive adversarial patent office proceedings. These proceedings include U.S. Patent and Trademark Office Patent Trial and Appeal Board (“PTAB”) proceedings involving the Broad Institute and the University of California regarding the priority of inventions with respect to certain U.S. patents and patent applications each owns directed to catalytically-active Cas9. Our genome editing technologies do not use catalytically-active Cas9 and we are not aware of any third-party patents or patent applications that we believe cover our Cas-related genome editing system and proprietary technology. However, we may not have identified all relevant third-party patents and patent applications. Therefore, there can be no assurance that third parties will not assert patents against us in the future or that our patents and patent applications will not be challenged. Any litigation brought against us or our patents or patent applications, even if meritless, could have a material adverse effect on our business, financial condition, results of operations and prospects.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rights,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Even if we were able to obtain a license, it could be nonexclusive, thereby giving our competitors and other third parties access to the same technologies licensed to us. We cannot assure you that any such license will be available on acceptable terms, if at all.</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20"/>
        <w:spacing w:after="0" w:line="256" w:lineRule="auto"/>
        <w:rPr>
          <w:sz w:val="20"/>
          <w:szCs w:val="20"/>
          <w:color w:val="auto"/>
        </w:rPr>
      </w:pPr>
      <w:r>
        <w:rPr>
          <w:rFonts w:ascii="Times New Roman" w:cs="Times New Roman" w:eastAsia="Times New Roman" w:hAnsi="Times New Roman"/>
          <w:sz w:val="18"/>
          <w:szCs w:val="18"/>
          <w:color w:val="auto"/>
        </w:rPr>
        <w:t>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Determinations of inventorship can be subjective. While we undertake to accurately identify correct inventorship of inventions made on our behalf by our employees, consultants and contractors, an employee, consultant or contractor may disagree with our determination of inventorship and assert a claim of inventorship. Any disagreement over inventorship could result in our being forced to defend our determination of inventorship in a legal action which could result in substantial costs and be a distraction to our senior management and scientific personnel.</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genome editing systems, we may be subject to claims that we or these employees have misappropriated the intellectual property of a third party.</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genome editing systems. Such a license may not be available on commercially reasonable terms or at all. Any of the aforementioned could materially affect the commercialization of any of our genome editing systems. Even if we are successful in defending against such claims, litigation could result in substantial costs and be a distraction to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expect to rely on third parties for future manufacturing of our genome editing systems, and any future genome editing systems. We also expect to collaborate with third parties on the development of our genome editing systems and any future genome editing systems. As a result of the aforementioned collaborations, we must, at times, share trade secrets with our collaborators. We also conduct joint research and development programs that may require us to share trade secrets under the terms of our research and development partnerships or similar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secrets or confidential know-how can be difficult to maintain as confidential. To protect this type of information against</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40"/>
        <w:spacing w:after="0" w:line="253" w:lineRule="auto"/>
        <w:rPr>
          <w:sz w:val="20"/>
          <w:szCs w:val="20"/>
          <w:color w:val="auto"/>
        </w:rPr>
      </w:pPr>
      <w:r>
        <w:rPr>
          <w:rFonts w:ascii="Times New Roman" w:cs="Times New Roman" w:eastAsia="Times New Roman" w:hAnsi="Times New Roman"/>
          <w:sz w:val="18"/>
          <w:szCs w:val="18"/>
          <w:color w:val="auto"/>
        </w:rPr>
        <w:t>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The enforceability of confidentiality agreements may vary from jurisdiction to jurisdiction.</w:t>
      </w:r>
    </w:p>
    <w:p>
      <w:pPr>
        <w:spacing w:after="0" w:line="19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genome editing systems. It may be necessary for us to use the patented or proprietary technology of one or more third parties to commercialize our current and future product candidates.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genome editing systems, if approved, would likely be delayed or we may have to abandon development of that product genome editing systems or program and our business and financial condition could suffer.</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in-license additional genome editing systems in the future, we might become dependent on proprietary rights from third parties with respect to those genome editing systems. Any termination of such licenses could result in the loss of significant rights and would cause material adverse harm to our ability to develop and commercialize any genome editing systems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1" w:name="page82"/>
    <w:bookmarkEnd w:id="81"/>
    <w:p>
      <w:pPr>
        <w:ind w:left="520" w:right="6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licensed technology in relation to our development and commercialization of our genome editing systems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genome editing systems.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rely on both registration and common law protection for our trademarks.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5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competitive to our genome editing systems or any of our future genome editing systems but that are not covered by the claims of our patent portfolio;</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otherwise circumvent any of our technologies without infringing our patent portfolio;</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might not have been the first to invent the inventions covered by our patent portfolio;</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might not have been the first to file patent applications covering certain of the patents or patent applications that we or they own or have obtained a license, or will own or will have obtained a license;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file in the future will not lead to issued patents;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on a non-exclusive basis in the future;</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 portfolio may be challenged by third parties;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enforcement is expensive and time-consuming and difficult to predict; thus, we may not be able to enforce any of our patents against a competitor; and</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for certain inventions, instead choosing to rely on trade secret protection, and a third party may subsequently file a patent covering such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 and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may be influenced by those factors discussed in this “Risk Factors” section and many others, some of which may include:</w:t>
      </w:r>
    </w:p>
    <w:p>
      <w:pPr>
        <w:spacing w:after="0" w:line="54"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for any product candidates we may develop;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and research programs;</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genetic therapies, including those that involve genome editing;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if any, that cover our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such as those arising from U.S.-China relations, rising interest rates and inflation or deflation;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pandemics such as the COVID-19 pandemic;</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 such as those between Russia and Ukraine, and Israel and Hamas; and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3" w:name="page84"/>
    <w:bookmarkEnd w:id="83"/>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 particular, in relation to uncertainty around inflation and the U.S. Federal Reserve’s measures to slow inflation, the stock market has been exceptionally volatile.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continue to incur, increased costs as a result of operating as a public company, and our management is required to devote substantial time to compliance initiatives and corporate governance practices.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continue to incur, significant legal, accounting and other expenses that we did not incur as a private company. The Sarbanes-Oxley Act of 2002 (“SOX”),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This could result in an adverse reaction in the financial markets due to a loss of confidence in the reliability of our financial statements.</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 market will be sustained for our common stock or what the market price of our common stock will be, and, as a result, it may be difficult for you to sell your shares of our common stock.</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an active or liquid market in our common stock may not be sustained. If a market for our common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June 30, 2024, 37,459,853 shares of our common stock were outstanding. Shares of unvested restricted common stock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for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is different than the information that is available with respect to other public companies.</w:t>
      </w:r>
    </w:p>
    <w:p>
      <w:pPr>
        <w:spacing w:after="0" w:line="19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which could limit your ability to affect the outcome of key transactions, including a change of control.</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and their affiliates beneficially own a significant amount of our outstanding common stock. As a result,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5" w:name="page86"/>
    <w:bookmarkEnd w:id="8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SOX Section 404, which will require annual management assessment of the effectiveness of our internal control over financial reporting starting with our Annual Report on Form 10-K for the year ending December 31, 2024.</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stockholders’ ability to obtain a favorable judicial forum for disputes with us.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DGCL, our amended and restated certificate of incorporation or our amended and restated bylaws or as to which the DGCL confers jurisdiction on the Court of Chancery of the State of Delaware; or (iv) any action asserting a claim governed by the internal affairs doctrine (the “Delaware Forum Provision”). The Delaware Forum Provision will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ind w:right="100"/>
        <w:spacing w:after="0" w:line="282" w:lineRule="auto"/>
        <w:rPr>
          <w:sz w:val="20"/>
          <w:szCs w:val="20"/>
          <w:color w:val="auto"/>
        </w:rPr>
      </w:pPr>
      <w:r>
        <w:rPr>
          <w:rFonts w:ascii="Times New Roman" w:cs="Times New Roman" w:eastAsia="Times New Roman" w:hAnsi="Times New Roman"/>
          <w:sz w:val="18"/>
          <w:szCs w:val="18"/>
          <w:color w:val="auto"/>
        </w:rPr>
        <w:t>courts, including courts where a stockholder considering an action may be located or would otherwise choose to bring the action, and such judgments may be more or less favorable to us than our stockholders.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amended and restated bylaws include provisions that:</w:t>
      </w:r>
    </w:p>
    <w:p>
      <w:pPr>
        <w:spacing w:after="0" w:line="72" w:lineRule="exact"/>
        <w:rPr>
          <w:sz w:val="20"/>
          <w:szCs w:val="20"/>
          <w:color w:val="auto"/>
        </w:rPr>
      </w:pPr>
    </w:p>
    <w:p>
      <w:pPr>
        <w:ind w:left="520" w:right="38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authorized our board of directors to make, alter, amend or repeal our amended and restated bylaws; and</w:t>
      </w:r>
    </w:p>
    <w:p>
      <w:pPr>
        <w:spacing w:after="0" w:line="117" w:lineRule="exact"/>
        <w:rPr>
          <w:rFonts w:ascii="Times New Roman" w:cs="Times New Roman" w:eastAsia="Times New Roman" w:hAnsi="Times New Roman"/>
          <w:sz w:val="18"/>
          <w:szCs w:val="18"/>
          <w:color w:val="auto"/>
        </w:rPr>
      </w:pPr>
    </w:p>
    <w:p>
      <w:pPr>
        <w:ind w:left="520" w:right="86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amended and restated certificate of incorporation and amended and restated bylaws.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DGCL,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Adverse developments affecting the financial services industry could adversely affect our current and projected business operations and our financial condition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b w:val="1"/>
          <w:bCs w:val="1"/>
          <w:i w:val="1"/>
          <w:iCs w:val="1"/>
          <w:color w:val="auto"/>
        </w:rPr>
        <w:t xml:space="preserve"> results of operations.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ind w:right="200"/>
        <w:spacing w:after="0" w:line="256" w:lineRule="auto"/>
        <w:rPr>
          <w:sz w:val="20"/>
          <w:szCs w:val="20"/>
          <w:color w:val="auto"/>
        </w:rPr>
      </w:pPr>
      <w:r>
        <w:rPr>
          <w:rFonts w:ascii="Times New Roman" w:cs="Times New Roman" w:eastAsia="Times New Roman" w:hAnsi="Times New Roman"/>
          <w:sz w:val="18"/>
          <w:szCs w:val="18"/>
          <w:color w:val="auto"/>
        </w:rPr>
        <w:t>Following SVB’s failure, we have diversified our cash deposit holdings between multiple financial institutions, and we have not experienced any adverse impact to our current and projected business operations, financial condition or results of operations as a result of the closure of SVB or any other banks. However, uncertainty remains over liquidity concerns in the broader financial services industry, and our business, our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available-for-sale marketable securities may be threatened.</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spacing w:after="0" w:line="17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9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IPO</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13, 2024, we closed the IPO, pursuant to which we issued and sold 6,250,000 shares of common stock at an initial public offering price of $15.00 per share.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offer and sale of all of the shares of our common stock in the IPO were registered under the Securities Act pursuant to a registration statement on Form S-1 (File No. 333-276413), which was declared effective by the SEC on February 8, 2024. J.P. Morgan, Jefferies, TD Cowen, Wells Fargo Securities, and BMO Capital Markets acted as joint book-running managers and Chardan acted as lead manager for the IPO.</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received aggregate gross proceeds from the IPO of $93.8 million, or aggregate net proceeds of $80.7 million after deducting underwriting discounts and commissions and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the IPO as described in our final prospectus filed pursuant to Rule 424(b)(4) under the Securities Act with the SEC on February 12, 2024.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right="80" w:firstLine="8"/>
        <w:spacing w:after="0" w:line="282"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since the Company last provided disclosure in response to the requirements of Item 407(c)(3) of Regulation S-K.</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June 30, 2024, no director or officer of the Company adopted or terminated a “Rule 10b5-1 trading arrangement” or “non-Rule 10b5-1 trading arrangement,” as each term is defined in Item 408(a) of Regulation S-K.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gridSpan w:val="6"/>
          </w:tcPr>
          <w:p>
            <w:pPr>
              <w:ind w:left="14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12"/>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040" w:type="dxa"/>
            <w:vAlign w:val="bottom"/>
            <w:gridSpan w:val="9"/>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Amended and Restated Certificate of Incorporation of the Registrant.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6040" w:type="dxa"/>
            <w:vAlign w:val="bottom"/>
            <w:gridSpan w:val="9"/>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of the Exchange Act, as adopted pursuant to Section 302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14(a) of the Exchange Act, as adopted pursuant to Section 302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 the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7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1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001-41949</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02/13/2024</w:t>
            </w:r>
          </w:p>
        </w:tc>
        <w:tc>
          <w:tcPr>
            <w:tcW w:w="0" w:type="dxa"/>
            <w:vAlign w:val="bottom"/>
          </w:tcPr>
          <w:p>
            <w:pPr>
              <w:spacing w:after="0"/>
              <w:rPr>
                <w:sz w:val="1"/>
                <w:szCs w:val="1"/>
                <w:color w:val="auto"/>
              </w:rPr>
            </w:pPr>
          </w:p>
        </w:tc>
      </w:tr>
      <w:tr>
        <w:trPr>
          <w:trHeight w:val="39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001-41949</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02/13/2024</w:t>
            </w:r>
          </w:p>
        </w:tc>
        <w:tc>
          <w:tcPr>
            <w:tcW w:w="0" w:type="dxa"/>
            <w:vAlign w:val="bottom"/>
          </w:tcPr>
          <w:p>
            <w:pPr>
              <w:spacing w:after="0"/>
              <w:rPr>
                <w:sz w:val="1"/>
                <w:szCs w:val="1"/>
                <w:color w:val="auto"/>
              </w:rPr>
            </w:pPr>
          </w:p>
        </w:tc>
      </w:tr>
    </w:tbl>
    <w:p>
      <w:pPr>
        <w:sectPr>
          <w:pgSz w:w="11900" w:h="16838" w:orient="portrait"/>
          <w:cols w:equalWidth="0" w:num="2">
            <w:col w:w="7400" w:space="120"/>
            <w:col w:w="3720"/>
          </w:cols>
          <w:pgMar w:left="320" w:top="1305" w:right="339" w:bottom="144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Metagenomi, Inc.</w:t>
      </w:r>
    </w:p>
    <w:p>
      <w:pPr>
        <w:spacing w:after="0" w:line="283" w:lineRule="exact"/>
        <w:rPr>
          <w:sz w:val="20"/>
          <w:szCs w:val="20"/>
          <w:color w:val="auto"/>
        </w:rPr>
      </w:pPr>
    </w:p>
    <w:p>
      <w:pPr>
        <w:ind w:left="20"/>
        <w:spacing w:after="0"/>
        <w:tabs>
          <w:tab w:leader="none" w:pos="6960" w:val="left"/>
          <w:tab w:leader="none" w:pos="85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C.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Brian C. Thomas, Ph.D.</w:t>
      </w:r>
    </w:p>
    <w:p>
      <w:pPr>
        <w:spacing w:after="0" w:line="36"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3" w:lineRule="exact"/>
        <w:rPr>
          <w:sz w:val="20"/>
          <w:szCs w:val="20"/>
          <w:color w:val="auto"/>
        </w:rPr>
      </w:pPr>
    </w:p>
    <w:p>
      <w:pPr>
        <w:ind w:left="20"/>
        <w:spacing w:after="0"/>
        <w:tabs>
          <w:tab w:leader="none" w:pos="6960" w:val="left"/>
          <w:tab w:leader="none" w:pos="85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Pamela Wapnick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Pamela Wapnick, MBA</w:t>
      </w:r>
    </w:p>
    <w:p>
      <w:pPr>
        <w:spacing w:after="0" w:line="3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w:t>
      </w:r>
    </w:p>
    <w:p>
      <w:pPr>
        <w:spacing w:after="0" w:line="3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 Thomas,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Metagenomi,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C.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Brian C. Thomas, Ph.D.</w:t>
      </w:r>
    </w:p>
    <w:p>
      <w:pPr>
        <w:spacing w:after="0" w:line="3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Pamela Wapnick, certify that:</w:t>
      </w:r>
    </w:p>
    <w:p>
      <w:pPr>
        <w:spacing w:after="0" w:line="225"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Metagenomi,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Pamela Wapnick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Pamela Wapnick, MBA</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Metagenomi, Inc. (the “Company”) on Form 10-Q for the period ending June 30, 2024 as filed with the Securities and Exchange Commission on the date hereof (the “Report”), the undersigned officers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C.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Brian C. Thomas, Ph.D.</w:t>
      </w:r>
    </w:p>
    <w:p>
      <w:pPr>
        <w:spacing w:after="0" w:line="3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Pamela Wapnick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Pamela Wapnick, MBA</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2"/>
    </w:lvl>
  </w:abstractNum>
  <w:abstractNum w:abstractNumId="7">
    <w:nsid w:val="3006C83E"/>
    <w:multiLevelType w:val="hybridMultilevel"/>
    <w:lvl w:ilvl="0">
      <w:lvlJc w:val="left"/>
      <w:lvlText w:val="%1."/>
      <w:numFmt w:val="decimal"/>
      <w:start w:val="3"/>
    </w:lvl>
  </w:abstractNum>
  <w:abstractNum w:abstractNumId="8">
    <w:nsid w:val="614FD4A1"/>
    <w:multiLevelType w:val="hybridMultilevel"/>
    <w:lvl w:ilvl="0">
      <w:lvlJc w:val="left"/>
      <w:lvlText w:val="%1."/>
      <w:numFmt w:val="decimal"/>
      <w:start w:val="4"/>
    </w:lvl>
  </w:abstractNum>
  <w:abstractNum w:abstractNumId="9">
    <w:nsid w:val="419AC241"/>
    <w:multiLevelType w:val="hybridMultilevel"/>
    <w:lvl w:ilvl="0">
      <w:lvlJc w:val="left"/>
      <w:lvlText w:val="%1."/>
      <w:numFmt w:val="decimal"/>
      <w:start w:val="5"/>
    </w:lvl>
  </w:abstractNum>
  <w:abstractNum w:abstractNumId="10">
    <w:nsid w:val="5577F8E1"/>
    <w:multiLevelType w:val="hybridMultilevel"/>
    <w:lvl w:ilvl="0">
      <w:lvlJc w:val="left"/>
      <w:lvlText w:val="%1."/>
      <w:numFmt w:val="decimal"/>
      <w:start w:val="6"/>
    </w:lvl>
  </w:abstractNum>
  <w:abstractNum w:abstractNumId="11">
    <w:nsid w:val="440BADFC"/>
    <w:multiLevelType w:val="hybridMultilevel"/>
    <w:lvl w:ilvl="0">
      <w:lvlJc w:val="left"/>
      <w:lvlText w:val="%1."/>
      <w:numFmt w:val="decimal"/>
      <w:start w:val="7"/>
    </w:lvl>
  </w:abstractNum>
  <w:abstractNum w:abstractNumId="12">
    <w:nsid w:val="5072367"/>
    <w:multiLevelType w:val="hybridMultilevel"/>
    <w:lvl w:ilvl="0">
      <w:lvlJc w:val="left"/>
      <w:lvlText w:val="%1."/>
      <w:numFmt w:val="decimal"/>
      <w:start w:val="8"/>
    </w:lvl>
  </w:abstractNum>
  <w:abstractNum w:abstractNumId="13">
    <w:nsid w:val="3804823E"/>
    <w:multiLevelType w:val="hybridMultilevel"/>
    <w:lvl w:ilvl="0">
      <w:lvlJc w:val="left"/>
      <w:lvlText w:val="%1."/>
      <w:numFmt w:val="decimal"/>
      <w:start w:val="9"/>
    </w:lvl>
  </w:abstractNum>
  <w:abstractNum w:abstractNumId="14">
    <w:nsid w:val="77465F01"/>
    <w:multiLevelType w:val="hybridMultilevel"/>
    <w:lvl w:ilvl="0">
      <w:lvlJc w:val="left"/>
      <w:lvlText w:val="%1."/>
      <w:numFmt w:val="decimal"/>
      <w:start w:val="10"/>
    </w:lvl>
  </w:abstractNum>
  <w:abstractNum w:abstractNumId="15">
    <w:nsid w:val="7724C67E"/>
    <w:multiLevelType w:val="hybridMultilevel"/>
    <w:lvl w:ilvl="0">
      <w:lvlJc w:val="left"/>
      <w:lvlText w:val="%1."/>
      <w:numFmt w:val="decimal"/>
      <w:start w:val="11"/>
    </w:lvl>
  </w:abstractNum>
  <w:abstractNum w:abstractNumId="16">
    <w:nsid w:val="5C482A97"/>
    <w:multiLevelType w:val="hybridMultilevel"/>
    <w:lvl w:ilvl="0">
      <w:lvlJc w:val="left"/>
      <w:lvlText w:val="%1."/>
      <w:numFmt w:val="decimal"/>
      <w:start w:val="12"/>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17" Type="http://schemas.openxmlformats.org/officeDocument/2006/relationships/hyperlink" Target="https://www.sec.gov/Archives/edgar/data/1785279/000119312524033697/d770467dex31.htm" TargetMode="External"/><Relationship Id="rId318" Type="http://schemas.openxmlformats.org/officeDocument/2006/relationships/hyperlink" Target="https://www.sec.gov/Archives/edgar/data/1785279/000119312524033697/d77046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2024-08-14T07:10:09Z</dcterms:created>
  <dcterms:modified xsi:type="dcterms:W3CDTF">2024-08-14T07:10:09Z</dcterms:modified>
</cp:coreProperties>
</file>