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8" w:lineRule="exact"/>
        <w:rPr>
          <w:sz w:val="24"/>
          <w:szCs w:val="24"/>
          <w:color w:val="auto"/>
        </w:rPr>
      </w:pPr>
    </w:p>
    <w:p>
      <w:pPr>
        <w:jc w:val="center"/>
        <w:ind w:left="440"/>
        <w:spacing w:after="0" w:line="229" w:lineRule="auto"/>
        <w:rPr>
          <w:sz w:val="20"/>
          <w:szCs w:val="20"/>
          <w:color w:val="auto"/>
        </w:rPr>
      </w:pPr>
      <w:r>
        <w:rPr>
          <w:rFonts w:ascii="Times New Roman" w:cs="Times New Roman" w:eastAsia="Times New Roman" w:hAnsi="Times New Roman"/>
          <w:sz w:val="13"/>
          <w:szCs w:val="13"/>
          <w:b w:val="1"/>
          <w:bCs w:val="1"/>
          <w:color w:val="auto"/>
        </w:rPr>
        <w:t>As confidentially submitted to the Securities and Exchange Commission on August 3, 2023. This draft registration statement has not been publicly filed with the Securities and Exchange Commission and all information herein remains confidential.</w:t>
      </w:r>
    </w:p>
    <w:p>
      <w:pPr>
        <w:spacing w:after="0" w:line="1" w:lineRule="exact"/>
        <w:rPr>
          <w:sz w:val="24"/>
          <w:szCs w:val="24"/>
          <w:color w:val="auto"/>
        </w:rPr>
      </w:pPr>
    </w:p>
    <w:p>
      <w:pPr>
        <w:ind w:left="9580"/>
        <w:spacing w:after="0"/>
        <w:rPr>
          <w:sz w:val="20"/>
          <w:szCs w:val="20"/>
          <w:color w:val="auto"/>
        </w:rPr>
      </w:pPr>
      <w:r>
        <w:rPr>
          <w:rFonts w:ascii="Times New Roman" w:cs="Times New Roman" w:eastAsia="Times New Roman" w:hAnsi="Times New Roman"/>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Metagenomi Technologies, LLC</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8" w:lineRule="exact"/>
        <w:rPr>
          <w:sz w:val="24"/>
          <w:szCs w:val="24"/>
          <w:color w:val="auto"/>
        </w:rPr>
      </w:pPr>
    </w:p>
    <w:tbl>
      <w:tblPr>
        <w:tblLayout w:type="fixed"/>
        <w:tblInd w:w="1280" w:type="dxa"/>
        <w:tblCellMar>
          <w:top w:w="0" w:type="dxa"/>
          <w:left w:w="0" w:type="dxa"/>
          <w:bottom w:w="0" w:type="dxa"/>
          <w:right w:w="0" w:type="dxa"/>
        </w:tblCellMar>
      </w:tblPr>
      <w:tr>
        <w:trPr>
          <w:trHeight w:val="149"/>
        </w:trPr>
        <w:tc>
          <w:tcPr>
            <w:tcW w:w="1560" w:type="dxa"/>
            <w:vAlign w:val="bottom"/>
          </w:tcPr>
          <w:p>
            <w:pPr>
              <w:jc w:val="center"/>
              <w:ind w:right="83"/>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3940" w:type="dxa"/>
            <w:vAlign w:val="bottom"/>
            <w:gridSpan w:val="2"/>
          </w:tcPr>
          <w:p>
            <w:pPr>
              <w:jc w:val="center"/>
              <w:ind w:left="1801"/>
              <w:spacing w:after="0"/>
              <w:rPr>
                <w:sz w:val="20"/>
                <w:szCs w:val="20"/>
                <w:color w:val="auto"/>
              </w:rPr>
            </w:pPr>
            <w:r>
              <w:rPr>
                <w:rFonts w:ascii="Times New Roman" w:cs="Times New Roman" w:eastAsia="Times New Roman" w:hAnsi="Times New Roman"/>
                <w:sz w:val="13"/>
                <w:szCs w:val="13"/>
                <w:b w:val="1"/>
                <w:bCs w:val="1"/>
                <w:color w:val="auto"/>
                <w:w w:val="92"/>
              </w:rPr>
              <w:t>2836</w:t>
            </w:r>
          </w:p>
        </w:tc>
        <w:tc>
          <w:tcPr>
            <w:tcW w:w="1820" w:type="dxa"/>
            <w:vAlign w:val="bottom"/>
          </w:tcPr>
          <w:p>
            <w:pPr>
              <w:spacing w:after="0"/>
              <w:rPr>
                <w:sz w:val="12"/>
                <w:szCs w:val="12"/>
                <w:color w:val="auto"/>
              </w:rPr>
            </w:pPr>
          </w:p>
        </w:tc>
        <w:tc>
          <w:tcPr>
            <w:tcW w:w="1200" w:type="dxa"/>
            <w:vAlign w:val="bottom"/>
          </w:tcPr>
          <w:p>
            <w:pPr>
              <w:jc w:val="center"/>
              <w:ind w:left="283"/>
              <w:spacing w:after="0"/>
              <w:rPr>
                <w:sz w:val="20"/>
                <w:szCs w:val="20"/>
                <w:color w:val="auto"/>
              </w:rPr>
            </w:pPr>
            <w:r>
              <w:rPr>
                <w:rFonts w:ascii="Times New Roman" w:cs="Times New Roman" w:eastAsia="Times New Roman" w:hAnsi="Times New Roman"/>
                <w:sz w:val="13"/>
                <w:szCs w:val="13"/>
                <w:b w:val="1"/>
                <w:bCs w:val="1"/>
                <w:color w:val="auto"/>
                <w:w w:val="98"/>
              </w:rPr>
              <w:t>83-2735153</w:t>
            </w:r>
          </w:p>
        </w:tc>
      </w:tr>
      <w:tr>
        <w:trPr>
          <w:trHeight w:val="122"/>
        </w:trPr>
        <w:tc>
          <w:tcPr>
            <w:tcW w:w="1560" w:type="dxa"/>
            <w:vAlign w:val="bottom"/>
          </w:tcPr>
          <w:p>
            <w:pPr>
              <w:jc w:val="center"/>
              <w:ind w:right="83"/>
              <w:spacing w:after="0" w:line="122" w:lineRule="exact"/>
              <w:rPr>
                <w:sz w:val="20"/>
                <w:szCs w:val="20"/>
                <w:color w:val="auto"/>
              </w:rPr>
            </w:pPr>
            <w:r>
              <w:rPr>
                <w:rFonts w:ascii="Times New Roman" w:cs="Times New Roman" w:eastAsia="Times New Roman" w:hAnsi="Times New Roman"/>
                <w:sz w:val="11"/>
                <w:szCs w:val="11"/>
                <w:b w:val="1"/>
                <w:bCs w:val="1"/>
                <w:color w:val="auto"/>
                <w:w w:val="97"/>
              </w:rPr>
              <w:t>(State or other jurisdiction of</w:t>
            </w:r>
          </w:p>
        </w:tc>
        <w:tc>
          <w:tcPr>
            <w:tcW w:w="1620" w:type="dxa"/>
            <w:vAlign w:val="bottom"/>
          </w:tcPr>
          <w:p>
            <w:pPr>
              <w:spacing w:after="0"/>
              <w:rPr>
                <w:sz w:val="10"/>
                <w:szCs w:val="10"/>
                <w:color w:val="auto"/>
              </w:rPr>
            </w:pPr>
          </w:p>
        </w:tc>
        <w:tc>
          <w:tcPr>
            <w:tcW w:w="4140" w:type="dxa"/>
            <w:vAlign w:val="bottom"/>
            <w:gridSpan w:val="2"/>
          </w:tcPr>
          <w:p>
            <w:pPr>
              <w:jc w:val="center"/>
              <w:ind w:right="15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(Primary Standard Industrial</w:t>
            </w:r>
          </w:p>
        </w:tc>
        <w:tc>
          <w:tcPr>
            <w:tcW w:w="1200" w:type="dxa"/>
            <w:vAlign w:val="bottom"/>
          </w:tcPr>
          <w:p>
            <w:pPr>
              <w:jc w:val="center"/>
              <w:ind w:left="283"/>
              <w:spacing w:after="0" w:line="122"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156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1620" w:type="dxa"/>
            <w:vAlign w:val="bottom"/>
          </w:tcPr>
          <w:p>
            <w:pPr>
              <w:spacing w:after="0"/>
              <w:rPr>
                <w:sz w:val="12"/>
                <w:szCs w:val="12"/>
                <w:color w:val="auto"/>
              </w:rPr>
            </w:pPr>
          </w:p>
        </w:tc>
        <w:tc>
          <w:tcPr>
            <w:tcW w:w="4140" w:type="dxa"/>
            <w:vAlign w:val="bottom"/>
            <w:gridSpan w:val="2"/>
          </w:tcPr>
          <w:p>
            <w:pPr>
              <w:jc w:val="center"/>
              <w:ind w:right="1600"/>
              <w:spacing w:after="0"/>
              <w:rPr>
                <w:sz w:val="20"/>
                <w:szCs w:val="20"/>
                <w:color w:val="auto"/>
              </w:rPr>
            </w:pPr>
            <w:r>
              <w:rPr>
                <w:rFonts w:ascii="Times New Roman" w:cs="Times New Roman" w:eastAsia="Times New Roman" w:hAnsi="Times New Roman"/>
                <w:sz w:val="11"/>
                <w:szCs w:val="11"/>
                <w:b w:val="1"/>
                <w:bCs w:val="1"/>
                <w:color w:val="auto"/>
                <w:w w:val="98"/>
              </w:rPr>
              <w:t>Classification Code Number)</w:t>
            </w:r>
          </w:p>
        </w:tc>
        <w:tc>
          <w:tcPr>
            <w:tcW w:w="1200" w:type="dxa"/>
            <w:vAlign w:val="bottom"/>
          </w:tcPr>
          <w:p>
            <w:pPr>
              <w:jc w:val="center"/>
              <w:ind w:left="283"/>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r>
        <w:trPr>
          <w:trHeight w:val="198"/>
        </w:trPr>
        <w:tc>
          <w:tcPr>
            <w:tcW w:w="1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18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89"/>
        </w:trPr>
        <w:tc>
          <w:tcPr>
            <w:tcW w:w="15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140" w:type="dxa"/>
            <w:vAlign w:val="bottom"/>
            <w:gridSpan w:val="2"/>
          </w:tcPr>
          <w:p>
            <w:pPr>
              <w:jc w:val="center"/>
              <w:ind w:right="1820"/>
              <w:spacing w:after="0"/>
              <w:rPr>
                <w:sz w:val="20"/>
                <w:szCs w:val="20"/>
                <w:color w:val="auto"/>
              </w:rPr>
            </w:pPr>
            <w:r>
              <w:rPr>
                <w:rFonts w:ascii="Times New Roman" w:cs="Times New Roman" w:eastAsia="Times New Roman" w:hAnsi="Times New Roman"/>
                <w:sz w:val="13"/>
                <w:szCs w:val="13"/>
                <w:b w:val="1"/>
                <w:bCs w:val="1"/>
                <w:color w:val="auto"/>
                <w:w w:val="96"/>
              </w:rPr>
              <w:t>Metagenomi Technologies, LLC</w:t>
            </w:r>
          </w:p>
        </w:tc>
        <w:tc>
          <w:tcPr>
            <w:tcW w:w="1200" w:type="dxa"/>
            <w:vAlign w:val="bottom"/>
          </w:tcPr>
          <w:p>
            <w:pPr>
              <w:spacing w:after="0"/>
              <w:rPr>
                <w:sz w:val="16"/>
                <w:szCs w:val="16"/>
                <w:color w:val="auto"/>
              </w:rPr>
            </w:pPr>
          </w:p>
        </w:tc>
      </w:tr>
      <w:tr>
        <w:trPr>
          <w:trHeight w:val="135"/>
        </w:trPr>
        <w:tc>
          <w:tcPr>
            <w:tcW w:w="15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140" w:type="dxa"/>
            <w:vAlign w:val="bottom"/>
            <w:gridSpan w:val="2"/>
          </w:tcPr>
          <w:p>
            <w:pPr>
              <w:jc w:val="center"/>
              <w:ind w:right="18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1545 Park Avenue</w:t>
            </w:r>
          </w:p>
        </w:tc>
        <w:tc>
          <w:tcPr>
            <w:tcW w:w="1200" w:type="dxa"/>
            <w:vAlign w:val="bottom"/>
          </w:tcPr>
          <w:p>
            <w:pPr>
              <w:spacing w:after="0"/>
              <w:rPr>
                <w:sz w:val="11"/>
                <w:szCs w:val="11"/>
                <w:color w:val="auto"/>
              </w:rPr>
            </w:pPr>
          </w:p>
        </w:tc>
      </w:tr>
      <w:tr>
        <w:trPr>
          <w:trHeight w:val="135"/>
        </w:trPr>
        <w:tc>
          <w:tcPr>
            <w:tcW w:w="15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140" w:type="dxa"/>
            <w:vAlign w:val="bottom"/>
            <w:gridSpan w:val="2"/>
          </w:tcPr>
          <w:p>
            <w:pPr>
              <w:jc w:val="center"/>
              <w:ind w:right="18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Emeryville, California 94608</w:t>
            </w:r>
          </w:p>
        </w:tc>
        <w:tc>
          <w:tcPr>
            <w:tcW w:w="1200" w:type="dxa"/>
            <w:vAlign w:val="bottom"/>
          </w:tcPr>
          <w:p>
            <w:pPr>
              <w:spacing w:after="0"/>
              <w:rPr>
                <w:sz w:val="11"/>
                <w:szCs w:val="11"/>
                <w:color w:val="auto"/>
              </w:rPr>
            </w:pPr>
          </w:p>
        </w:tc>
      </w:tr>
      <w:tr>
        <w:trPr>
          <w:trHeight w:val="139"/>
        </w:trPr>
        <w:tc>
          <w:tcPr>
            <w:tcW w:w="1560" w:type="dxa"/>
            <w:vAlign w:val="bottom"/>
          </w:tcPr>
          <w:p>
            <w:pPr>
              <w:spacing w:after="0"/>
              <w:rPr>
                <w:sz w:val="12"/>
                <w:szCs w:val="12"/>
                <w:color w:val="auto"/>
              </w:rPr>
            </w:pPr>
          </w:p>
        </w:tc>
        <w:tc>
          <w:tcPr>
            <w:tcW w:w="3940" w:type="dxa"/>
            <w:vAlign w:val="bottom"/>
            <w:gridSpan w:val="2"/>
          </w:tcPr>
          <w:p>
            <w:pPr>
              <w:jc w:val="center"/>
              <w:ind w:left="1581"/>
              <w:spacing w:after="0" w:line="139" w:lineRule="exact"/>
              <w:rPr>
                <w:sz w:val="20"/>
                <w:szCs w:val="20"/>
                <w:color w:val="auto"/>
              </w:rPr>
            </w:pPr>
            <w:r>
              <w:rPr>
                <w:rFonts w:ascii="Times New Roman" w:cs="Times New Roman" w:eastAsia="Times New Roman" w:hAnsi="Times New Roman"/>
                <w:sz w:val="13"/>
                <w:szCs w:val="13"/>
                <w:b w:val="1"/>
                <w:bCs w:val="1"/>
                <w:color w:val="auto"/>
                <w:w w:val="95"/>
              </w:rPr>
              <w:t>(510) 871-4880</w:t>
            </w:r>
          </w:p>
        </w:tc>
        <w:tc>
          <w:tcPr>
            <w:tcW w:w="18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2"/>
        </w:trPr>
        <w:tc>
          <w:tcPr>
            <w:tcW w:w="1560" w:type="dxa"/>
            <w:vAlign w:val="bottom"/>
          </w:tcPr>
          <w:p>
            <w:pPr>
              <w:spacing w:after="0"/>
              <w:rPr>
                <w:sz w:val="12"/>
                <w:szCs w:val="12"/>
                <w:color w:val="auto"/>
              </w:rPr>
            </w:pPr>
          </w:p>
        </w:tc>
        <w:tc>
          <w:tcPr>
            <w:tcW w:w="576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(Address, including zip code, and telephone number, including area code, of registrant’s principal executive offices)</w:t>
            </w:r>
          </w:p>
        </w:tc>
        <w:tc>
          <w:tcPr>
            <w:tcW w:w="1200" w:type="dxa"/>
            <w:vAlign w:val="bottom"/>
          </w:tcPr>
          <w:p>
            <w:pPr>
              <w:spacing w:after="0"/>
              <w:rPr>
                <w:sz w:val="12"/>
                <w:szCs w:val="12"/>
                <w:color w:val="auto"/>
              </w:rPr>
            </w:pPr>
          </w:p>
        </w:tc>
      </w:tr>
      <w:tr>
        <w:trPr>
          <w:trHeight w:val="184"/>
        </w:trPr>
        <w:tc>
          <w:tcPr>
            <w:tcW w:w="15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8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6"/>
        </w:trPr>
        <w:tc>
          <w:tcPr>
            <w:tcW w:w="15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140" w:type="dxa"/>
            <w:vAlign w:val="bottom"/>
            <w:gridSpan w:val="2"/>
          </w:tcPr>
          <w:p>
            <w:pPr>
              <w:jc w:val="center"/>
              <w:ind w:right="1820"/>
              <w:spacing w:after="0"/>
              <w:rPr>
                <w:sz w:val="20"/>
                <w:szCs w:val="20"/>
                <w:color w:val="auto"/>
              </w:rPr>
            </w:pPr>
            <w:r>
              <w:rPr>
                <w:rFonts w:ascii="Times New Roman" w:cs="Times New Roman" w:eastAsia="Times New Roman" w:hAnsi="Times New Roman"/>
                <w:sz w:val="13"/>
                <w:szCs w:val="13"/>
                <w:b w:val="1"/>
                <w:bCs w:val="1"/>
                <w:color w:val="auto"/>
                <w:w w:val="96"/>
              </w:rPr>
              <w:t>Brian C. Thomas, Ph.D.</w:t>
            </w:r>
          </w:p>
        </w:tc>
        <w:tc>
          <w:tcPr>
            <w:tcW w:w="1200" w:type="dxa"/>
            <w:vAlign w:val="bottom"/>
          </w:tcPr>
          <w:p>
            <w:pPr>
              <w:spacing w:after="0"/>
              <w:rPr>
                <w:sz w:val="15"/>
                <w:szCs w:val="15"/>
                <w:color w:val="auto"/>
              </w:rPr>
            </w:pPr>
          </w:p>
        </w:tc>
      </w:tr>
      <w:tr>
        <w:trPr>
          <w:trHeight w:val="135"/>
        </w:trPr>
        <w:tc>
          <w:tcPr>
            <w:tcW w:w="15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140" w:type="dxa"/>
            <w:vAlign w:val="bottom"/>
            <w:gridSpan w:val="2"/>
          </w:tcPr>
          <w:p>
            <w:pPr>
              <w:jc w:val="center"/>
              <w:ind w:right="18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Chief Executive Officer</w:t>
            </w:r>
          </w:p>
        </w:tc>
        <w:tc>
          <w:tcPr>
            <w:tcW w:w="1200" w:type="dxa"/>
            <w:vAlign w:val="bottom"/>
          </w:tcPr>
          <w:p>
            <w:pPr>
              <w:spacing w:after="0"/>
              <w:rPr>
                <w:sz w:val="11"/>
                <w:szCs w:val="11"/>
                <w:color w:val="auto"/>
              </w:rPr>
            </w:pPr>
          </w:p>
        </w:tc>
      </w:tr>
      <w:tr>
        <w:trPr>
          <w:trHeight w:val="135"/>
        </w:trPr>
        <w:tc>
          <w:tcPr>
            <w:tcW w:w="15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140" w:type="dxa"/>
            <w:vAlign w:val="bottom"/>
            <w:gridSpan w:val="2"/>
          </w:tcPr>
          <w:p>
            <w:pPr>
              <w:jc w:val="center"/>
              <w:ind w:right="18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Metagenomi Technologies, LLC</w:t>
            </w:r>
          </w:p>
        </w:tc>
        <w:tc>
          <w:tcPr>
            <w:tcW w:w="1200" w:type="dxa"/>
            <w:vAlign w:val="bottom"/>
          </w:tcPr>
          <w:p>
            <w:pPr>
              <w:spacing w:after="0"/>
              <w:rPr>
                <w:sz w:val="11"/>
                <w:szCs w:val="11"/>
                <w:color w:val="auto"/>
              </w:rPr>
            </w:pPr>
          </w:p>
        </w:tc>
      </w:tr>
      <w:tr>
        <w:trPr>
          <w:trHeight w:val="135"/>
        </w:trPr>
        <w:tc>
          <w:tcPr>
            <w:tcW w:w="15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140" w:type="dxa"/>
            <w:vAlign w:val="bottom"/>
            <w:gridSpan w:val="2"/>
          </w:tcPr>
          <w:p>
            <w:pPr>
              <w:jc w:val="center"/>
              <w:ind w:right="18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1545 Park Avenue</w:t>
            </w:r>
          </w:p>
        </w:tc>
        <w:tc>
          <w:tcPr>
            <w:tcW w:w="1200" w:type="dxa"/>
            <w:vAlign w:val="bottom"/>
          </w:tcPr>
          <w:p>
            <w:pPr>
              <w:spacing w:after="0"/>
              <w:rPr>
                <w:sz w:val="11"/>
                <w:szCs w:val="11"/>
                <w:color w:val="auto"/>
              </w:rPr>
            </w:pPr>
          </w:p>
        </w:tc>
      </w:tr>
      <w:tr>
        <w:trPr>
          <w:trHeight w:val="135"/>
        </w:trPr>
        <w:tc>
          <w:tcPr>
            <w:tcW w:w="15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140" w:type="dxa"/>
            <w:vAlign w:val="bottom"/>
            <w:gridSpan w:val="2"/>
          </w:tcPr>
          <w:p>
            <w:pPr>
              <w:jc w:val="center"/>
              <w:ind w:right="18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Emeryville, California 94608</w:t>
            </w:r>
          </w:p>
        </w:tc>
        <w:tc>
          <w:tcPr>
            <w:tcW w:w="1200" w:type="dxa"/>
            <w:vAlign w:val="bottom"/>
          </w:tcPr>
          <w:p>
            <w:pPr>
              <w:spacing w:after="0"/>
              <w:rPr>
                <w:sz w:val="11"/>
                <w:szCs w:val="11"/>
                <w:color w:val="auto"/>
              </w:rPr>
            </w:pPr>
          </w:p>
        </w:tc>
      </w:tr>
      <w:tr>
        <w:trPr>
          <w:trHeight w:val="139"/>
        </w:trPr>
        <w:tc>
          <w:tcPr>
            <w:tcW w:w="1560" w:type="dxa"/>
            <w:vAlign w:val="bottom"/>
          </w:tcPr>
          <w:p>
            <w:pPr>
              <w:spacing w:after="0"/>
              <w:rPr>
                <w:sz w:val="12"/>
                <w:szCs w:val="12"/>
                <w:color w:val="auto"/>
              </w:rPr>
            </w:pPr>
          </w:p>
        </w:tc>
        <w:tc>
          <w:tcPr>
            <w:tcW w:w="3940" w:type="dxa"/>
            <w:vAlign w:val="bottom"/>
            <w:gridSpan w:val="2"/>
          </w:tcPr>
          <w:p>
            <w:pPr>
              <w:jc w:val="center"/>
              <w:ind w:left="1581"/>
              <w:spacing w:after="0" w:line="139" w:lineRule="exact"/>
              <w:rPr>
                <w:sz w:val="20"/>
                <w:szCs w:val="20"/>
                <w:color w:val="auto"/>
              </w:rPr>
            </w:pPr>
            <w:r>
              <w:rPr>
                <w:rFonts w:ascii="Times New Roman" w:cs="Times New Roman" w:eastAsia="Times New Roman" w:hAnsi="Times New Roman"/>
                <w:sz w:val="13"/>
                <w:szCs w:val="13"/>
                <w:b w:val="1"/>
                <w:bCs w:val="1"/>
                <w:color w:val="auto"/>
                <w:w w:val="95"/>
              </w:rPr>
              <w:t>(510) 871-4880</w:t>
            </w:r>
          </w:p>
        </w:tc>
        <w:tc>
          <w:tcPr>
            <w:tcW w:w="18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2"/>
        </w:trPr>
        <w:tc>
          <w:tcPr>
            <w:tcW w:w="1560" w:type="dxa"/>
            <w:vAlign w:val="bottom"/>
          </w:tcPr>
          <w:p>
            <w:pPr>
              <w:spacing w:after="0"/>
              <w:rPr>
                <w:sz w:val="12"/>
                <w:szCs w:val="12"/>
                <w:color w:val="auto"/>
              </w:rPr>
            </w:pPr>
          </w:p>
        </w:tc>
        <w:tc>
          <w:tcPr>
            <w:tcW w:w="576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(Name, address, including zip code, and telephone number, including area code, of agent for service)</w:t>
            </w:r>
          </w:p>
        </w:tc>
        <w:tc>
          <w:tcPr>
            <w:tcW w:w="1200" w:type="dxa"/>
            <w:vAlign w:val="bottom"/>
          </w:tcPr>
          <w:p>
            <w:pPr>
              <w:spacing w:after="0"/>
              <w:rPr>
                <w:sz w:val="12"/>
                <w:szCs w:val="12"/>
                <w:color w:val="auto"/>
              </w:rPr>
            </w:pPr>
          </w:p>
        </w:tc>
      </w:tr>
      <w:tr>
        <w:trPr>
          <w:trHeight w:val="197"/>
        </w:trPr>
        <w:tc>
          <w:tcPr>
            <w:tcW w:w="1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18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7"/>
        </w:trPr>
        <w:tc>
          <w:tcPr>
            <w:tcW w:w="15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14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1200" w:type="dxa"/>
            <w:vAlign w:val="bottom"/>
          </w:tcPr>
          <w:p>
            <w:pPr>
              <w:spacing w:after="0"/>
              <w:rPr>
                <w:sz w:val="19"/>
                <w:szCs w:val="19"/>
                <w:color w:val="auto"/>
              </w:rPr>
            </w:pPr>
          </w:p>
        </w:tc>
      </w:tr>
    </w:tbl>
    <w:p>
      <w:pPr>
        <w:spacing w:after="0" w:line="29" w:lineRule="exact"/>
        <w:rPr>
          <w:sz w:val="24"/>
          <w:szCs w:val="24"/>
          <w:color w:val="auto"/>
        </w:rPr>
      </w:pPr>
    </w:p>
    <w:tbl>
      <w:tblPr>
        <w:tblLayout w:type="fixed"/>
        <w:tblInd w:w="2120" w:type="dxa"/>
        <w:tblCellMar>
          <w:top w:w="0" w:type="dxa"/>
          <w:left w:w="0" w:type="dxa"/>
          <w:bottom w:w="0" w:type="dxa"/>
          <w:right w:w="0" w:type="dxa"/>
        </w:tblCellMar>
      </w:tblPr>
      <w:tr>
        <w:trPr>
          <w:trHeight w:val="149"/>
        </w:trPr>
        <w:tc>
          <w:tcPr>
            <w:tcW w:w="3560" w:type="dxa"/>
            <w:vAlign w:val="bottom"/>
          </w:tcPr>
          <w:p>
            <w:pPr>
              <w:jc w:val="center"/>
              <w:ind w:right="1937"/>
              <w:spacing w:after="0"/>
              <w:rPr>
                <w:sz w:val="20"/>
                <w:szCs w:val="20"/>
                <w:color w:val="auto"/>
              </w:rPr>
            </w:pPr>
            <w:r>
              <w:rPr>
                <w:rFonts w:ascii="Times New Roman" w:cs="Times New Roman" w:eastAsia="Times New Roman" w:hAnsi="Times New Roman"/>
                <w:sz w:val="13"/>
                <w:szCs w:val="13"/>
                <w:b w:val="1"/>
                <w:bCs w:val="1"/>
                <w:color w:val="auto"/>
                <w:w w:val="96"/>
              </w:rPr>
              <w:t>Mitchell S. Bloom</w:t>
            </w:r>
          </w:p>
        </w:tc>
        <w:tc>
          <w:tcPr>
            <w:tcW w:w="3560" w:type="dxa"/>
            <w:vAlign w:val="bottom"/>
          </w:tcPr>
          <w:p>
            <w:pPr>
              <w:jc w:val="center"/>
              <w:ind w:left="1937"/>
              <w:spacing w:after="0"/>
              <w:rPr>
                <w:sz w:val="20"/>
                <w:szCs w:val="20"/>
                <w:color w:val="auto"/>
              </w:rPr>
            </w:pPr>
            <w:r>
              <w:rPr>
                <w:rFonts w:ascii="Times New Roman" w:cs="Times New Roman" w:eastAsia="Times New Roman" w:hAnsi="Times New Roman"/>
                <w:sz w:val="13"/>
                <w:szCs w:val="13"/>
                <w:b w:val="1"/>
                <w:bCs w:val="1"/>
                <w:color w:val="auto"/>
                <w:w w:val="94"/>
              </w:rPr>
              <w:t>Richard D. Truesdell, Jr.</w:t>
            </w:r>
          </w:p>
        </w:tc>
      </w:tr>
      <w:tr>
        <w:trPr>
          <w:trHeight w:val="135"/>
        </w:trPr>
        <w:tc>
          <w:tcPr>
            <w:tcW w:w="3560" w:type="dxa"/>
            <w:vAlign w:val="bottom"/>
          </w:tcPr>
          <w:p>
            <w:pPr>
              <w:jc w:val="center"/>
              <w:ind w:right="19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Edwin M. O’Connor</w:t>
            </w:r>
          </w:p>
        </w:tc>
        <w:tc>
          <w:tcPr>
            <w:tcW w:w="3560" w:type="dxa"/>
            <w:vAlign w:val="bottom"/>
          </w:tcPr>
          <w:p>
            <w:pPr>
              <w:jc w:val="center"/>
              <w:ind w:left="19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Yasin Keshvargar</w:t>
            </w:r>
          </w:p>
        </w:tc>
      </w:tr>
      <w:tr>
        <w:trPr>
          <w:trHeight w:val="135"/>
        </w:trPr>
        <w:tc>
          <w:tcPr>
            <w:tcW w:w="3560" w:type="dxa"/>
            <w:vAlign w:val="bottom"/>
          </w:tcPr>
          <w:p>
            <w:pPr>
              <w:jc w:val="center"/>
              <w:ind w:right="19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Goodwin Procter LLP</w:t>
            </w:r>
          </w:p>
        </w:tc>
        <w:tc>
          <w:tcPr>
            <w:tcW w:w="3560" w:type="dxa"/>
            <w:vAlign w:val="bottom"/>
          </w:tcPr>
          <w:p>
            <w:pPr>
              <w:jc w:val="center"/>
              <w:ind w:left="19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Davis Polk &amp; Wardwell LLP</w:t>
            </w:r>
          </w:p>
        </w:tc>
      </w:tr>
      <w:tr>
        <w:trPr>
          <w:trHeight w:val="135"/>
        </w:trPr>
        <w:tc>
          <w:tcPr>
            <w:tcW w:w="3560" w:type="dxa"/>
            <w:vAlign w:val="bottom"/>
          </w:tcPr>
          <w:p>
            <w:pPr>
              <w:jc w:val="center"/>
              <w:ind w:right="19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100 Northern Avenue</w:t>
            </w:r>
          </w:p>
        </w:tc>
        <w:tc>
          <w:tcPr>
            <w:tcW w:w="3560" w:type="dxa"/>
            <w:vAlign w:val="bottom"/>
          </w:tcPr>
          <w:p>
            <w:pPr>
              <w:jc w:val="center"/>
              <w:ind w:left="19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450 Lexington Avenue</w:t>
            </w:r>
          </w:p>
        </w:tc>
      </w:tr>
      <w:tr>
        <w:trPr>
          <w:trHeight w:val="135"/>
        </w:trPr>
        <w:tc>
          <w:tcPr>
            <w:tcW w:w="3560" w:type="dxa"/>
            <w:vAlign w:val="bottom"/>
          </w:tcPr>
          <w:p>
            <w:pPr>
              <w:jc w:val="center"/>
              <w:ind w:right="19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Boston, Massachusetts 02210</w:t>
            </w:r>
          </w:p>
        </w:tc>
        <w:tc>
          <w:tcPr>
            <w:tcW w:w="3560" w:type="dxa"/>
            <w:vAlign w:val="bottom"/>
          </w:tcPr>
          <w:p>
            <w:pPr>
              <w:jc w:val="center"/>
              <w:ind w:left="19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New York, New York 10017</w:t>
            </w:r>
          </w:p>
        </w:tc>
      </w:tr>
      <w:tr>
        <w:trPr>
          <w:trHeight w:val="166"/>
        </w:trPr>
        <w:tc>
          <w:tcPr>
            <w:tcW w:w="3560" w:type="dxa"/>
            <w:vAlign w:val="bottom"/>
          </w:tcPr>
          <w:p>
            <w:pPr>
              <w:jc w:val="center"/>
              <w:ind w:right="1937"/>
              <w:spacing w:after="0"/>
              <w:rPr>
                <w:sz w:val="20"/>
                <w:szCs w:val="20"/>
                <w:color w:val="auto"/>
              </w:rPr>
            </w:pPr>
            <w:r>
              <w:rPr>
                <w:rFonts w:ascii="Times New Roman" w:cs="Times New Roman" w:eastAsia="Times New Roman" w:hAnsi="Times New Roman"/>
                <w:sz w:val="13"/>
                <w:szCs w:val="13"/>
                <w:b w:val="1"/>
                <w:bCs w:val="1"/>
                <w:color w:val="auto"/>
                <w:w w:val="98"/>
              </w:rPr>
              <w:t>(617) 570-1000</w:t>
            </w:r>
          </w:p>
        </w:tc>
        <w:tc>
          <w:tcPr>
            <w:tcW w:w="3560" w:type="dxa"/>
            <w:vAlign w:val="bottom"/>
          </w:tcPr>
          <w:p>
            <w:pPr>
              <w:jc w:val="center"/>
              <w:ind w:left="1937"/>
              <w:spacing w:after="0"/>
              <w:rPr>
                <w:sz w:val="20"/>
                <w:szCs w:val="20"/>
                <w:color w:val="auto"/>
              </w:rPr>
            </w:pPr>
            <w:r>
              <w:rPr>
                <w:rFonts w:ascii="Times New Roman" w:cs="Times New Roman" w:eastAsia="Times New Roman" w:hAnsi="Times New Roman"/>
                <w:sz w:val="13"/>
                <w:szCs w:val="13"/>
                <w:b w:val="1"/>
                <w:bCs w:val="1"/>
                <w:color w:val="auto"/>
                <w:w w:val="98"/>
              </w:rPr>
              <w:t>(212)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121285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w:t>
      </w:r>
      <w:r>
        <w:rPr>
          <w:rFonts w:ascii="Times New Roman" w:cs="Times New Roman" w:eastAsia="Times New Roman" w:hAnsi="Times New Roman"/>
          <w:sz w:val="13"/>
          <w:szCs w:val="13"/>
          <w:color w:val="auto"/>
        </w:rPr>
        <w:t>: As soon as practicable after the effective date of this registration statement.</w:t>
      </w:r>
    </w:p>
    <w:p>
      <w:pPr>
        <w:spacing w:after="0" w:line="40" w:lineRule="exact"/>
        <w:rPr>
          <w:sz w:val="24"/>
          <w:szCs w:val="24"/>
          <w:color w:val="auto"/>
        </w:rPr>
      </w:pPr>
    </w:p>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as amended, check the following box. </w:t>
      </w:r>
      <w:r>
        <w:rPr>
          <w:rFonts w:ascii="MS PGothic" w:cs="MS PGothic" w:eastAsia="MS PGothic" w:hAnsi="MS PGothic"/>
          <w:sz w:val="13"/>
          <w:szCs w:val="13"/>
          <w:color w:val="auto"/>
        </w:rPr>
        <w:t>☐</w:t>
      </w:r>
    </w:p>
    <w:p>
      <w:pPr>
        <w:spacing w:after="0" w:line="82" w:lineRule="exact"/>
        <w:rPr>
          <w:sz w:val="24"/>
          <w:szCs w:val="24"/>
          <w:color w:val="auto"/>
        </w:rPr>
      </w:pPr>
    </w:p>
    <w:p>
      <w:pPr>
        <w:ind w:left="120" w:right="60"/>
        <w:spacing w:after="0" w:line="167"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2" w:lineRule="exact"/>
        <w:rPr>
          <w:sz w:val="24"/>
          <w:szCs w:val="24"/>
          <w:color w:val="auto"/>
        </w:rPr>
      </w:pPr>
    </w:p>
    <w:p>
      <w:pPr>
        <w:ind w:left="120" w:right="260"/>
        <w:spacing w:after="0" w:line="16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8" w:lineRule="exact"/>
        <w:rPr>
          <w:sz w:val="24"/>
          <w:szCs w:val="24"/>
          <w:color w:val="auto"/>
        </w:rPr>
      </w:pPr>
    </w:p>
    <w:p>
      <w:pPr>
        <w:ind w:left="120" w:right="240"/>
        <w:spacing w:after="0" w:line="16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8" w:lineRule="exact"/>
        <w:rPr>
          <w:sz w:val="24"/>
          <w:szCs w:val="24"/>
          <w:color w:val="auto"/>
        </w:rPr>
      </w:pPr>
    </w:p>
    <w:p>
      <w:pPr>
        <w:ind w:left="120" w:right="56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37" w:lineRule="exact"/>
        <w:rPr>
          <w:sz w:val="24"/>
          <w:szCs w:val="24"/>
          <w:color w:val="auto"/>
        </w:rPr>
      </w:pPr>
    </w:p>
    <w:tbl>
      <w:tblPr>
        <w:tblLayout w:type="fixed"/>
        <w:tblInd w:w="120" w:type="dxa"/>
        <w:tblCellMar>
          <w:top w:w="0" w:type="dxa"/>
          <w:left w:w="0" w:type="dxa"/>
          <w:bottom w:w="0" w:type="dxa"/>
          <w:right w:w="0" w:type="dxa"/>
        </w:tblCellMar>
      </w:tblP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88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Accelerated filer</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56"/>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88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57"/>
        </w:trPr>
        <w:tc>
          <w:tcPr>
            <w:tcW w:w="142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520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Emerging growth company</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32" w:lineRule="exact"/>
        <w:rPr>
          <w:sz w:val="24"/>
          <w:szCs w:val="24"/>
          <w:color w:val="auto"/>
        </w:rPr>
      </w:pPr>
    </w:p>
    <w:p>
      <w:pPr>
        <w:jc w:val="both"/>
        <w:ind w:left="120" w:right="1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9" w:lineRule="exact"/>
        <w:rPr>
          <w:sz w:val="24"/>
          <w:szCs w:val="24"/>
          <w:color w:val="auto"/>
        </w:rPr>
      </w:pPr>
    </w:p>
    <w:p>
      <w:pPr>
        <w:jc w:val="both"/>
        <w:ind w:left="120" w:right="20"/>
        <w:spacing w:after="0" w:line="233"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files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EXPLANATORY NOTE</w:t>
      </w:r>
    </w:p>
    <w:p>
      <w:pPr>
        <w:spacing w:after="0" w:line="168"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Metagenomi Technologies, LLC, the registrant whose name appears on the cover of this registration statement, is a Delaware limited liability company. Prior to the effectiveness of this registration statement, Metagenomi Technologies, LLC will complete a series of transactions pursuant to which Metagenomi Technologies, LLC will merge with and into its wholly-owned subsidiary, Metagenomi, Inc., a Delaware corporation, with Metagenomi, Inc. continuing as the surviving corporation. We refer to this reorganization throughout the prospectus included in this registration statement as the “Reorganization.” Except as disclosed in the prospectus, the consolidated financial statements and summary financial data and other financial information included in this registration statement are those of Metagenomi Technologies, LLC and its subsidiaries and do not give effect to the Reorganization. Shares of the common stock of Metagenomi, Inc. are being offered by the prospectus included in this registration statement.</w:t>
      </w:r>
    </w:p>
    <w:p>
      <w:pPr>
        <w:spacing w:after="0" w:line="11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Pursuant to the applicable provisions of the Fixing America’s Surface Transportation Act, we are currently omitting our unaudited financial statements for the periods ended March 31, 2022 and 2023. We intend to amend this registration statement to include all financial information required by Regulation S-X at the date of such amendment before distributing a preliminary prospectus to investors.</w:t>
      </w:r>
    </w:p>
    <w:p>
      <w:pPr>
        <w:sectPr>
          <w:pgSz w:w="11900" w:h="16838" w:orient="portrait"/>
          <w:cols w:equalWidth="0" w:num="1">
            <w:col w:w="11020"/>
          </w:cols>
          <w:pgMar w:left="320" w:top="455"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0" w:lineRule="auto"/>
        <w:rPr>
          <w:sz w:val="20"/>
          <w:szCs w:val="20"/>
          <w:color w:val="auto"/>
        </w:rPr>
      </w:pPr>
      <w:r>
        <w:rPr>
          <w:rFonts w:ascii="Arial" w:cs="Arial" w:eastAsia="Arial" w:hAnsi="Arial"/>
          <w:sz w:val="18"/>
          <w:szCs w:val="18"/>
          <w:b w:val="1"/>
          <w:bCs w:val="1"/>
          <w:color w:val="8B3F4E"/>
        </w:rPr>
        <w:t>The information in this preliminary prospectus is not complete and may be changed. We may not sell these securities until the Securities and Exchange Commission declares our registration statement effective. This preliminary prospectus is not an offer to sell these securities and is not soliciting an offer to buy these securities in any jurisdiction where the offer or sale is not permitted.</w:t>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273"/>
        </w:trPr>
        <w:tc>
          <w:tcPr>
            <w:tcW w:w="3060" w:type="dxa"/>
            <w:vAlign w:val="bottom"/>
          </w:tcPr>
          <w:p>
            <w:pPr>
              <w:spacing w:after="0"/>
              <w:rPr>
                <w:sz w:val="20"/>
                <w:szCs w:val="20"/>
                <w:color w:val="auto"/>
              </w:rPr>
            </w:pPr>
            <w:r>
              <w:rPr>
                <w:rFonts w:ascii="Arial" w:cs="Arial" w:eastAsia="Arial" w:hAnsi="Arial"/>
                <w:sz w:val="20"/>
                <w:szCs w:val="20"/>
                <w:b w:val="1"/>
                <w:bCs w:val="1"/>
                <w:color w:val="8B3F4E"/>
              </w:rPr>
              <w:t>Subject to completion, dated</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8B3F4E"/>
              </w:rPr>
              <w:t>, 2023</w:t>
            </w:r>
          </w:p>
        </w:tc>
      </w:tr>
    </w:tbl>
    <w:p>
      <w:pPr>
        <w:spacing w:after="0" w:line="24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PRELIMINARY PROSPECTUS</w:t>
      </w:r>
    </w:p>
    <w:p>
      <w:pPr>
        <w:spacing w:after="0" w:line="267" w:lineRule="exact"/>
        <w:rPr>
          <w:sz w:val="20"/>
          <w:szCs w:val="20"/>
          <w:color w:val="auto"/>
        </w:rPr>
      </w:pPr>
    </w:p>
    <w:p>
      <w:pPr>
        <w:ind w:left="1200"/>
        <w:spacing w:after="0"/>
        <w:rPr>
          <w:sz w:val="20"/>
          <w:szCs w:val="20"/>
          <w:color w:val="auto"/>
        </w:rPr>
      </w:pPr>
      <w:r>
        <w:rPr>
          <w:rFonts w:ascii="Arial" w:cs="Arial" w:eastAsia="Arial" w:hAnsi="Arial"/>
          <w:sz w:val="32"/>
          <w:szCs w:val="32"/>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1885950" cy="745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Arial" w:cs="Arial" w:eastAsia="Arial" w:hAnsi="Arial"/>
          <w:sz w:val="32"/>
          <w:szCs w:val="32"/>
          <w:b w:val="1"/>
          <w:bCs w:val="1"/>
          <w:i w:val="1"/>
          <w:iCs w:val="1"/>
          <w:color w:val="auto"/>
        </w:rPr>
        <w:t>Common Stock</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is an initial public offering of shares of common stock of Metagenomi, Inc.</w:t>
      </w:r>
    </w:p>
    <w:p>
      <w:pPr>
        <w:spacing w:after="0" w:line="144" w:lineRule="exact"/>
        <w:rPr>
          <w:sz w:val="20"/>
          <w:szCs w:val="20"/>
          <w:color w:val="auto"/>
        </w:rPr>
      </w:pPr>
    </w:p>
    <w:p>
      <w:pPr>
        <w:ind w:left="120"/>
        <w:spacing w:after="0"/>
        <w:tabs>
          <w:tab w:leader="none" w:pos="2220" w:val="left"/>
          <w:tab w:leader="none" w:pos="10420" w:val="left"/>
        </w:tabs>
        <w:rPr>
          <w:sz w:val="20"/>
          <w:szCs w:val="20"/>
          <w:color w:val="auto"/>
        </w:rPr>
      </w:pPr>
      <w:r>
        <w:rPr>
          <w:rFonts w:ascii="Arial" w:cs="Arial" w:eastAsia="Arial" w:hAnsi="Arial"/>
          <w:sz w:val="18"/>
          <w:szCs w:val="18"/>
          <w:color w:val="auto"/>
        </w:rPr>
        <w:t>We are offering</w:t>
      </w:r>
      <w:r>
        <w:rPr>
          <w:sz w:val="20"/>
          <w:szCs w:val="20"/>
          <w:color w:val="auto"/>
        </w:rPr>
        <w:tab/>
      </w:r>
      <w:r>
        <w:rPr>
          <w:rFonts w:ascii="Arial" w:cs="Arial" w:eastAsia="Arial" w:hAnsi="Arial"/>
          <w:sz w:val="18"/>
          <w:szCs w:val="18"/>
          <w:color w:val="auto"/>
        </w:rPr>
        <w:t>shares of our common stock. We expect that the initial public offering price will be between $</w:t>
      </w:r>
      <w:r>
        <w:rPr>
          <w:sz w:val="20"/>
          <w:szCs w:val="20"/>
          <w:color w:val="auto"/>
        </w:rPr>
        <w:tab/>
      </w:r>
      <w:r>
        <w:rPr>
          <w:rFonts w:ascii="Arial" w:cs="Arial" w:eastAsia="Arial" w:hAnsi="Arial"/>
          <w:sz w:val="17"/>
          <w:szCs w:val="17"/>
          <w:color w:val="auto"/>
        </w:rPr>
        <w:t>and</w:t>
      </w:r>
    </w:p>
    <w:p>
      <w:pPr>
        <w:spacing w:after="0" w:line="14" w:lineRule="exact"/>
        <w:rPr>
          <w:sz w:val="20"/>
          <w:szCs w:val="20"/>
          <w:color w:val="auto"/>
        </w:rPr>
      </w:pPr>
    </w:p>
    <w:p>
      <w:pPr>
        <w:ind w:left="1060" w:hanging="944"/>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 share.</w:t>
      </w:r>
    </w:p>
    <w:p>
      <w:pPr>
        <w:spacing w:after="0" w:line="113"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color w:val="auto"/>
        </w:rPr>
        <w:t>Prior to this offering, there has been no public market for our common stock. We have applied to list our common stock on the Nasdaq Global Select Market under the symbol “MGX.”</w:t>
      </w:r>
    </w:p>
    <w:p>
      <w:pPr>
        <w:spacing w:after="0" w:line="86"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We are an “emerging growth company” under the federal securities laws and, as such, we have elected to comply with certain reduced public company reporting requirements for this prospectus and for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34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tcPr>
          <w:p>
            <w:pPr>
              <w:ind w:left="2480"/>
              <w:spacing w:after="0"/>
              <w:rPr>
                <w:sz w:val="20"/>
                <w:szCs w:val="20"/>
                <w:color w:val="auto"/>
              </w:rPr>
            </w:pPr>
            <w:r>
              <w:rPr>
                <w:rFonts w:ascii="Arial" w:cs="Arial" w:eastAsia="Arial" w:hAnsi="Arial"/>
                <w:sz w:val="16"/>
                <w:szCs w:val="16"/>
                <w:b w:val="1"/>
                <w:bCs w:val="1"/>
                <w:color w:val="auto"/>
              </w:rPr>
              <w:t>Per share</w:t>
            </w: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Total</w:t>
            </w:r>
          </w:p>
        </w:tc>
      </w:tr>
      <w:tr>
        <w:trPr>
          <w:trHeight w:val="115"/>
        </w:trPr>
        <w:tc>
          <w:tcPr>
            <w:tcW w:w="634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03"/>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Initial public offering price</w:t>
            </w:r>
          </w:p>
        </w:tc>
        <w:tc>
          <w:tcPr>
            <w:tcW w:w="3540" w:type="dxa"/>
            <w:vAlign w:val="bottom"/>
            <w:shd w:val="clear" w:color="auto" w:fill="CCEEFF"/>
          </w:tcPr>
          <w:p>
            <w:pPr>
              <w:ind w:left="24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r>
      <w:tr>
        <w:trPr>
          <w:trHeight w:val="355"/>
        </w:trPr>
        <w:tc>
          <w:tcPr>
            <w:tcW w:w="634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3540" w:type="dxa"/>
            <w:vAlign w:val="bottom"/>
          </w:tcPr>
          <w:p>
            <w:pPr>
              <w:ind w:left="2480"/>
              <w:spacing w:after="0"/>
              <w:rPr>
                <w:sz w:val="20"/>
                <w:szCs w:val="20"/>
                <w:color w:val="auto"/>
              </w:rPr>
            </w:pPr>
            <w:r>
              <w:rPr>
                <w:rFonts w:ascii="Arial" w:cs="Arial" w:eastAsia="Arial" w:hAnsi="Arial"/>
                <w:sz w:val="18"/>
                <w:szCs w:val="18"/>
                <w:color w:val="auto"/>
              </w:rPr>
              <w:t>$</w:t>
            </w:r>
          </w:p>
        </w:tc>
        <w:tc>
          <w:tcPr>
            <w:tcW w:w="114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118"/>
        </w:trPr>
        <w:tc>
          <w:tcPr>
            <w:tcW w:w="634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03"/>
        </w:trPr>
        <w:tc>
          <w:tcPr>
            <w:tcW w:w="63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Metagenomi, Inc.</w:t>
            </w:r>
          </w:p>
        </w:tc>
        <w:tc>
          <w:tcPr>
            <w:tcW w:w="3540" w:type="dxa"/>
            <w:vAlign w:val="bottom"/>
            <w:tcBorders>
              <w:bottom w:val="single" w:sz="8" w:color="auto"/>
            </w:tcBorders>
            <w:shd w:val="clear" w:color="auto" w:fill="CCEEFF"/>
          </w:tcPr>
          <w:p>
            <w:pPr>
              <w:ind w:left="248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6"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See “Underwriting” beginning on page 247 of this prospectus for additional information regarding underwriting compensation.</w:t>
      </w:r>
    </w:p>
    <w:p>
      <w:pPr>
        <w:sectPr>
          <w:pgSz w:w="11900" w:h="16838" w:orient="portrait"/>
          <w:cols w:equalWidth="0" w:num="1">
            <w:col w:w="11140"/>
          </w:cols>
          <w:pgMar w:left="320" w:top="455" w:right="439" w:bottom="1440" w:gutter="0" w:footer="0" w:header="0"/>
        </w:sectPr>
      </w:pPr>
    </w:p>
    <w:p>
      <w:pPr>
        <w:spacing w:after="0" w:line="155"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We have granted the underwriters an option for a period of 30 days to purchase an additional us at the initial public offering price, less underwriting discounts and commissions.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from</w:t>
      </w:r>
    </w:p>
    <w:p>
      <w:pPr>
        <w:spacing w:after="0" w:line="357" w:lineRule="exact"/>
        <w:rPr>
          <w:sz w:val="20"/>
          <w:szCs w:val="20"/>
          <w:color w:val="auto"/>
        </w:rPr>
      </w:pPr>
    </w:p>
    <w:p>
      <w:pPr>
        <w:sectPr>
          <w:pgSz w:w="11900" w:h="16838" w:orient="portrait"/>
          <w:cols w:equalWidth="0" w:num="2">
            <w:col w:w="7700" w:space="720"/>
            <w:col w:w="2720"/>
          </w:cols>
          <w:pgMar w:left="320" w:top="455" w:right="439" w:bottom="1440" w:gutter="0" w:footer="0" w:header="0"/>
          <w:type w:val="continuous"/>
        </w:sectPr>
      </w:pPr>
    </w:p>
    <w:p>
      <w:pPr>
        <w:ind w:left="120" w:right="200"/>
        <w:spacing w:after="0" w:line="257" w:lineRule="auto"/>
        <w:rPr>
          <w:sz w:val="20"/>
          <w:szCs w:val="20"/>
          <w:color w:val="auto"/>
        </w:rPr>
      </w:pPr>
      <w:r>
        <w:rPr>
          <w:rFonts w:ascii="Arial" w:cs="Arial" w:eastAsia="Arial" w:hAnsi="Arial"/>
          <w:sz w:val="18"/>
          <w:szCs w:val="18"/>
          <w:b w:val="1"/>
          <w:bCs w:val="1"/>
          <w:color w:val="auto"/>
        </w:rPr>
        <w:t>Investing in our common stock involves a high degree of risk. Before buying any shares, you should read carefully the discussion of the material risks of investing in our common stock under the heading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starting on page 18 of this prospectus.</w:t>
      </w:r>
    </w:p>
    <w:p>
      <w:pPr>
        <w:spacing w:after="0" w:line="78" w:lineRule="exact"/>
        <w:rPr>
          <w:sz w:val="20"/>
          <w:szCs w:val="20"/>
          <w:color w:val="auto"/>
        </w:rPr>
      </w:pPr>
    </w:p>
    <w:p>
      <w:pPr>
        <w:ind w:left="120" w:right="300"/>
        <w:spacing w:after="0" w:line="25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ectPr>
          <w:pgSz w:w="11900" w:h="16838" w:orient="portrait"/>
          <w:cols w:equalWidth="0" w:num="1">
            <w:col w:w="11140"/>
          </w:cols>
          <w:pgMar w:left="320" w:top="455" w:right="439" w:bottom="1440" w:gutter="0" w:footer="0" w:header="0"/>
          <w:type w:val="continuous"/>
        </w:sectPr>
      </w:pPr>
    </w:p>
    <w:p>
      <w:pPr>
        <w:spacing w:after="0" w:line="9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underwriters expect to deliver the shares against payment in New York, New York on</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 2023.</w:t>
      </w:r>
    </w:p>
    <w:p>
      <w:pPr>
        <w:spacing w:after="0" w:line="155" w:lineRule="exact"/>
        <w:rPr>
          <w:sz w:val="20"/>
          <w:szCs w:val="20"/>
          <w:color w:val="auto"/>
        </w:rPr>
      </w:pPr>
    </w:p>
    <w:p>
      <w:pPr>
        <w:sectPr>
          <w:pgSz w:w="11900" w:h="16838" w:orient="portrait"/>
          <w:cols w:equalWidth="0" w:num="2">
            <w:col w:w="7340" w:space="720"/>
            <w:col w:w="3080"/>
          </w:cols>
          <w:pgMar w:left="320" w:top="455" w:right="439" w:bottom="1440" w:gutter="0" w:footer="0" w:header="0"/>
          <w:type w:val="continuous"/>
        </w:sectPr>
      </w:pPr>
    </w:p>
    <w:p>
      <w:pPr>
        <w:ind w:left="120"/>
        <w:spacing w:after="0"/>
        <w:tabs>
          <w:tab w:leader="none" w:pos="1660" w:val="left"/>
        </w:tabs>
        <w:rPr>
          <w:sz w:val="20"/>
          <w:szCs w:val="20"/>
          <w:color w:val="auto"/>
        </w:rPr>
      </w:pPr>
      <w:r>
        <w:rPr>
          <w:rFonts w:ascii="Arial" w:cs="Arial" w:eastAsia="Arial" w:hAnsi="Arial"/>
          <w:sz w:val="23"/>
          <w:szCs w:val="23"/>
          <w:b w:val="1"/>
          <w:bCs w:val="1"/>
          <w:color w:val="auto"/>
        </w:rPr>
        <w:t>J.P. Morgan</w:t>
        <w:tab/>
        <w:t>Jefferies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TD Cowen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Wells Fargo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BMO Capital Markets</w:t>
      </w:r>
    </w:p>
    <w:p>
      <w:pPr>
        <w:spacing w:after="0" w:line="163" w:lineRule="exact"/>
        <w:rPr>
          <w:sz w:val="20"/>
          <w:szCs w:val="20"/>
          <w:color w:val="auto"/>
        </w:rPr>
      </w:pPr>
    </w:p>
    <w:p>
      <w:pPr>
        <w:sectPr>
          <w:pgSz w:w="11900" w:h="16838" w:orient="portrait"/>
          <w:cols w:equalWidth="0" w:num="4">
            <w:col w:w="2640" w:space="580"/>
            <w:col w:w="1720" w:space="720"/>
            <w:col w:w="2500" w:space="640"/>
            <w:col w:w="2340"/>
          </w:cols>
          <w:pgMar w:left="320" w:top="455" w:right="439" w:bottom="1440" w:gutter="0" w:footer="0" w:header="0"/>
          <w:type w:val="continuous"/>
        </w:sectPr>
      </w:pPr>
    </w:p>
    <w:p>
      <w:pPr>
        <w:jc w:val="center"/>
        <w:ind w:right="-119"/>
        <w:spacing w:after="0"/>
        <w:rPr>
          <w:sz w:val="20"/>
          <w:szCs w:val="20"/>
          <w:color w:val="auto"/>
        </w:rPr>
      </w:pPr>
      <w:r>
        <w:rPr>
          <w:rFonts w:ascii="Arial" w:cs="Arial" w:eastAsia="Arial" w:hAnsi="Arial"/>
          <w:sz w:val="25"/>
          <w:szCs w:val="25"/>
          <w:b w:val="1"/>
          <w:bCs w:val="1"/>
          <w:color w:val="auto"/>
        </w:rPr>
        <w:t>Chardan</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273"/>
        </w:trPr>
        <w:tc>
          <w:tcPr>
            <w:tcW w:w="2100" w:type="dxa"/>
            <w:vAlign w:val="bottom"/>
          </w:tcPr>
          <w:p>
            <w:pPr>
              <w:spacing w:after="0"/>
              <w:rPr>
                <w:sz w:val="20"/>
                <w:szCs w:val="20"/>
                <w:color w:val="auto"/>
              </w:rPr>
            </w:pPr>
            <w:r>
              <w:rPr>
                <w:rFonts w:ascii="Arial" w:cs="Arial" w:eastAsia="Arial" w:hAnsi="Arial"/>
                <w:sz w:val="20"/>
                <w:szCs w:val="20"/>
                <w:b w:val="1"/>
                <w:bCs w:val="1"/>
                <w:color w:val="auto"/>
              </w:rPr>
              <w:t>Prospectus dated</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 2023.</w:t>
            </w:r>
          </w:p>
        </w:tc>
      </w:tr>
    </w:tbl>
    <w:p>
      <w:pPr>
        <w:sectPr>
          <w:pgSz w:w="11900" w:h="16838" w:orient="portrait"/>
          <w:cols w:equalWidth="0" w:num="1">
            <w:col w:w="11140"/>
          </w:cols>
          <w:pgMar w:left="320" w:top="455" w:right="4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Table of contents</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8"/>
        </w:trPr>
        <w:tc>
          <w:tcPr>
            <w:tcW w:w="17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8"/>
              </w:rPr>
              <w:t>Prospectus Summary</w:t>
            </w:r>
          </w:p>
        </w:tc>
        <w:tc>
          <w:tcPr>
            <w:tcW w:w="7120" w:type="dxa"/>
            <w:vAlign w:val="bottom"/>
            <w:gridSpan w:val="14"/>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10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5"/>
              </w:rPr>
              <w:t>The Offering</w:t>
            </w:r>
          </w:p>
        </w:tc>
        <w:tc>
          <w:tcPr>
            <w:tcW w:w="7840" w:type="dxa"/>
            <w:vAlign w:val="bottom"/>
            <w:gridSpan w:val="19"/>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8840" w:type="dxa"/>
            <w:vAlign w:val="bottom"/>
            <w:gridSpan w:val="22"/>
          </w:tcPr>
          <w:p>
            <w:pPr>
              <w:spacing w:after="0"/>
              <w:rPr>
                <w:sz w:val="20"/>
                <w:szCs w:val="20"/>
                <w:color w:val="auto"/>
              </w:rPr>
            </w:pPr>
            <w:r>
              <w:rPr>
                <w:rFonts w:ascii="Arial" w:cs="Arial" w:eastAsia="Arial" w:hAnsi="Arial"/>
                <w:sz w:val="18"/>
                <w:szCs w:val="18"/>
                <w:color w:val="0000EE"/>
              </w:rPr>
              <w:t>Summary Financial Data</w:t>
            </w:r>
          </w:p>
        </w:tc>
        <w:tc>
          <w:tcPr>
            <w:tcW w:w="2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10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5"/>
              </w:rPr>
              <w:t>Risk Factors</w:t>
            </w:r>
          </w:p>
        </w:tc>
        <w:tc>
          <w:tcPr>
            <w:tcW w:w="960" w:type="dxa"/>
            <w:vAlign w:val="bottom"/>
            <w:tcBorders>
              <w:top w:val="single" w:sz="8" w:color="0000EE"/>
            </w:tcBorders>
            <w:gridSpan w:val="8"/>
          </w:tcPr>
          <w:p>
            <w:pPr>
              <w:spacing w:after="0"/>
              <w:rPr>
                <w:sz w:val="21"/>
                <w:szCs w:val="21"/>
                <w:color w:val="auto"/>
              </w:rPr>
            </w:pPr>
          </w:p>
        </w:tc>
        <w:tc>
          <w:tcPr>
            <w:tcW w:w="6880" w:type="dxa"/>
            <w:vAlign w:val="bottom"/>
            <w:gridSpan w:val="11"/>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0"/>
        </w:trPr>
        <w:tc>
          <w:tcPr>
            <w:tcW w:w="426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9"/>
              </w:rPr>
              <w:t>Special Note Regarding Forward-Looking Statements</w:t>
            </w:r>
          </w:p>
        </w:tc>
        <w:tc>
          <w:tcPr>
            <w:tcW w:w="4580" w:type="dxa"/>
            <w:vAlign w:val="bottom"/>
            <w:gridSpan w:val="5"/>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50"/>
        </w:trPr>
        <w:tc>
          <w:tcPr>
            <w:tcW w:w="8840" w:type="dxa"/>
            <w:vAlign w:val="bottom"/>
            <w:gridSpan w:val="22"/>
          </w:tcPr>
          <w:p>
            <w:pPr>
              <w:spacing w:after="0"/>
              <w:rPr>
                <w:sz w:val="20"/>
                <w:szCs w:val="20"/>
                <w:color w:val="auto"/>
              </w:rPr>
            </w:pPr>
            <w:r>
              <w:rPr>
                <w:rFonts w:ascii="Arial" w:cs="Arial" w:eastAsia="Arial" w:hAnsi="Arial"/>
                <w:sz w:val="18"/>
                <w:szCs w:val="18"/>
                <w:color w:val="0000EE"/>
              </w:rPr>
              <w:t>Reorganization</w:t>
            </w:r>
          </w:p>
        </w:tc>
        <w:tc>
          <w:tcPr>
            <w:tcW w:w="21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50"/>
        </w:trPr>
        <w:tc>
          <w:tcPr>
            <w:tcW w:w="8840" w:type="dxa"/>
            <w:vAlign w:val="bottom"/>
            <w:gridSpan w:val="22"/>
          </w:tcPr>
          <w:p>
            <w:pPr>
              <w:spacing w:after="0"/>
              <w:rPr>
                <w:sz w:val="20"/>
                <w:szCs w:val="20"/>
                <w:color w:val="auto"/>
              </w:rPr>
            </w:pPr>
            <w:r>
              <w:rPr>
                <w:rFonts w:ascii="Arial" w:cs="Arial" w:eastAsia="Arial" w:hAnsi="Arial"/>
                <w:sz w:val="18"/>
                <w:szCs w:val="18"/>
                <w:color w:val="0000EE"/>
              </w:rPr>
              <w:t>Use of Proceeds</w:t>
            </w:r>
          </w:p>
        </w:tc>
        <w:tc>
          <w:tcPr>
            <w:tcW w:w="21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50"/>
        </w:trPr>
        <w:tc>
          <w:tcPr>
            <w:tcW w:w="13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Dividend Policy</w:t>
            </w:r>
          </w:p>
        </w:tc>
        <w:tc>
          <w:tcPr>
            <w:tcW w:w="7520" w:type="dxa"/>
            <w:vAlign w:val="bottom"/>
            <w:gridSpan w:val="15"/>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50"/>
        </w:trPr>
        <w:tc>
          <w:tcPr>
            <w:tcW w:w="10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8"/>
              </w:rPr>
              <w:t>Capitalization</w:t>
            </w:r>
          </w:p>
        </w:tc>
        <w:tc>
          <w:tcPr>
            <w:tcW w:w="140" w:type="dxa"/>
            <w:vAlign w:val="bottom"/>
            <w:tcBorders>
              <w:top w:val="single" w:sz="8" w:color="0000EE"/>
            </w:tcBorders>
            <w:gridSpan w:val="2"/>
          </w:tcPr>
          <w:p>
            <w:pPr>
              <w:spacing w:after="0"/>
              <w:rPr>
                <w:sz w:val="21"/>
                <w:szCs w:val="21"/>
                <w:color w:val="auto"/>
              </w:rPr>
            </w:pPr>
          </w:p>
        </w:tc>
        <w:tc>
          <w:tcPr>
            <w:tcW w:w="7620" w:type="dxa"/>
            <w:vAlign w:val="bottom"/>
            <w:gridSpan w:val="16"/>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50"/>
        </w:trPr>
        <w:tc>
          <w:tcPr>
            <w:tcW w:w="6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6"/>
              </w:rPr>
              <w:t>Dilution</w:t>
            </w:r>
          </w:p>
        </w:tc>
        <w:tc>
          <w:tcPr>
            <w:tcW w:w="8240" w:type="dxa"/>
            <w:vAlign w:val="bottom"/>
            <w:gridSpan w:val="21"/>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50"/>
        </w:trPr>
        <w:tc>
          <w:tcPr>
            <w:tcW w:w="708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176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50"/>
        </w:trPr>
        <w:tc>
          <w:tcPr>
            <w:tcW w:w="8840" w:type="dxa"/>
            <w:vAlign w:val="bottom"/>
            <w:gridSpan w:val="22"/>
          </w:tcPr>
          <w:p>
            <w:pPr>
              <w:spacing w:after="0"/>
              <w:rPr>
                <w:sz w:val="20"/>
                <w:szCs w:val="20"/>
                <w:color w:val="auto"/>
              </w:rPr>
            </w:pPr>
            <w:r>
              <w:rPr>
                <w:rFonts w:ascii="Arial" w:cs="Arial" w:eastAsia="Arial" w:hAnsi="Arial"/>
                <w:sz w:val="18"/>
                <w:szCs w:val="18"/>
                <w:color w:val="0000EE"/>
              </w:rPr>
              <w:t>Business</w:t>
            </w:r>
          </w:p>
        </w:tc>
        <w:tc>
          <w:tcPr>
            <w:tcW w:w="21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50"/>
        </w:trPr>
        <w:tc>
          <w:tcPr>
            <w:tcW w:w="8840" w:type="dxa"/>
            <w:vAlign w:val="bottom"/>
            <w:gridSpan w:val="22"/>
          </w:tcPr>
          <w:p>
            <w:pPr>
              <w:spacing w:after="0"/>
              <w:rPr>
                <w:sz w:val="20"/>
                <w:szCs w:val="20"/>
                <w:color w:val="auto"/>
              </w:rPr>
            </w:pPr>
            <w:r>
              <w:rPr>
                <w:rFonts w:ascii="Arial" w:cs="Arial" w:eastAsia="Arial" w:hAnsi="Arial"/>
                <w:sz w:val="18"/>
                <w:szCs w:val="18"/>
                <w:color w:val="0000EE"/>
              </w:rPr>
              <w:t>Management</w:t>
            </w:r>
          </w:p>
        </w:tc>
        <w:tc>
          <w:tcPr>
            <w:tcW w:w="210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50"/>
        </w:trPr>
        <w:tc>
          <w:tcPr>
            <w:tcW w:w="8840" w:type="dxa"/>
            <w:vAlign w:val="bottom"/>
            <w:gridSpan w:val="22"/>
          </w:tcPr>
          <w:p>
            <w:pPr>
              <w:spacing w:after="0"/>
              <w:rPr>
                <w:sz w:val="20"/>
                <w:szCs w:val="20"/>
                <w:color w:val="auto"/>
              </w:rPr>
            </w:pPr>
            <w:r>
              <w:rPr>
                <w:rFonts w:ascii="Arial" w:cs="Arial" w:eastAsia="Arial" w:hAnsi="Arial"/>
                <w:sz w:val="18"/>
                <w:szCs w:val="18"/>
                <w:color w:val="0000EE"/>
              </w:rPr>
              <w:t>Executive Compensation</w:t>
            </w:r>
          </w:p>
        </w:tc>
        <w:tc>
          <w:tcPr>
            <w:tcW w:w="210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50"/>
        </w:trPr>
        <w:tc>
          <w:tcPr>
            <w:tcW w:w="184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0000EE"/>
                <w:w w:val="98"/>
              </w:rPr>
              <w:t>Director Compensation</w:t>
            </w:r>
          </w:p>
        </w:tc>
        <w:tc>
          <w:tcPr>
            <w:tcW w:w="140" w:type="dxa"/>
            <w:vAlign w:val="bottom"/>
            <w:tcBorders>
              <w:top w:val="single" w:sz="8" w:color="0000EE"/>
            </w:tcBorders>
            <w:gridSpan w:val="2"/>
          </w:tcPr>
          <w:p>
            <w:pPr>
              <w:spacing w:after="0"/>
              <w:rPr>
                <w:sz w:val="21"/>
                <w:szCs w:val="21"/>
                <w:color w:val="auto"/>
              </w:rPr>
            </w:pPr>
          </w:p>
        </w:tc>
        <w:tc>
          <w:tcPr>
            <w:tcW w:w="6860" w:type="dxa"/>
            <w:vAlign w:val="bottom"/>
            <w:gridSpan w:val="10"/>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50"/>
        </w:trPr>
        <w:tc>
          <w:tcPr>
            <w:tcW w:w="44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Certain Relationships and Related Person Transactions</w:t>
            </w:r>
          </w:p>
        </w:tc>
        <w:tc>
          <w:tcPr>
            <w:tcW w:w="4420" w:type="dxa"/>
            <w:vAlign w:val="bottom"/>
            <w:gridSpan w:val="4"/>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50"/>
        </w:trPr>
        <w:tc>
          <w:tcPr>
            <w:tcW w:w="17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8"/>
              </w:rPr>
              <w:t>Principal Stockholders</w:t>
            </w:r>
          </w:p>
        </w:tc>
        <w:tc>
          <w:tcPr>
            <w:tcW w:w="7060" w:type="dxa"/>
            <w:vAlign w:val="bottom"/>
            <w:gridSpan w:val="13"/>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50"/>
        </w:trPr>
        <w:tc>
          <w:tcPr>
            <w:tcW w:w="8840" w:type="dxa"/>
            <w:vAlign w:val="bottom"/>
            <w:gridSpan w:val="22"/>
          </w:tcPr>
          <w:p>
            <w:pPr>
              <w:spacing w:after="0"/>
              <w:rPr>
                <w:sz w:val="20"/>
                <w:szCs w:val="20"/>
                <w:color w:val="auto"/>
              </w:rPr>
            </w:pPr>
            <w:r>
              <w:rPr>
                <w:rFonts w:ascii="Arial" w:cs="Arial" w:eastAsia="Arial" w:hAnsi="Arial"/>
                <w:sz w:val="18"/>
                <w:szCs w:val="18"/>
                <w:color w:val="0000EE"/>
              </w:rPr>
              <w:t>Description of Capital Stock</w:t>
            </w:r>
          </w:p>
        </w:tc>
        <w:tc>
          <w:tcPr>
            <w:tcW w:w="210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50"/>
        </w:trPr>
        <w:tc>
          <w:tcPr>
            <w:tcW w:w="24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Shares Eligible for Future Sale</w:t>
            </w:r>
          </w:p>
        </w:tc>
        <w:tc>
          <w:tcPr>
            <w:tcW w:w="6400" w:type="dxa"/>
            <w:vAlign w:val="bottom"/>
            <w:gridSpan w:val="8"/>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50"/>
        </w:trPr>
        <w:tc>
          <w:tcPr>
            <w:tcW w:w="564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9"/>
              </w:rPr>
              <w:t>Material U.S. Federal Income Tax Considerations for Non-U.S. Holders</w:t>
            </w:r>
          </w:p>
        </w:tc>
        <w:tc>
          <w:tcPr>
            <w:tcW w:w="3200" w:type="dxa"/>
            <w:vAlign w:val="bottom"/>
            <w:gridSpan w:val="2"/>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50"/>
        </w:trPr>
        <w:tc>
          <w:tcPr>
            <w:tcW w:w="8840" w:type="dxa"/>
            <w:vAlign w:val="bottom"/>
            <w:gridSpan w:val="22"/>
          </w:tcPr>
          <w:p>
            <w:pPr>
              <w:spacing w:after="0"/>
              <w:rPr>
                <w:sz w:val="20"/>
                <w:szCs w:val="20"/>
                <w:color w:val="auto"/>
              </w:rPr>
            </w:pPr>
            <w:r>
              <w:rPr>
                <w:rFonts w:ascii="Arial" w:cs="Arial" w:eastAsia="Arial" w:hAnsi="Arial"/>
                <w:sz w:val="18"/>
                <w:szCs w:val="18"/>
                <w:color w:val="0000EE"/>
              </w:rPr>
              <w:t>Underwriting</w:t>
            </w:r>
          </w:p>
        </w:tc>
        <w:tc>
          <w:tcPr>
            <w:tcW w:w="210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gridSpan w:val="1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50"/>
        </w:trPr>
        <w:tc>
          <w:tcPr>
            <w:tcW w:w="8840" w:type="dxa"/>
            <w:vAlign w:val="bottom"/>
            <w:gridSpan w:val="22"/>
          </w:tcPr>
          <w:p>
            <w:pPr>
              <w:spacing w:after="0"/>
              <w:rPr>
                <w:sz w:val="20"/>
                <w:szCs w:val="20"/>
                <w:color w:val="auto"/>
              </w:rPr>
            </w:pPr>
            <w:r>
              <w:rPr>
                <w:rFonts w:ascii="Arial" w:cs="Arial" w:eastAsia="Arial" w:hAnsi="Arial"/>
                <w:sz w:val="18"/>
                <w:szCs w:val="18"/>
                <w:color w:val="0000EE"/>
              </w:rPr>
              <w:t>Legal Matters</w:t>
            </w:r>
          </w:p>
        </w:tc>
        <w:tc>
          <w:tcPr>
            <w:tcW w:w="21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50"/>
        </w:trPr>
        <w:tc>
          <w:tcPr>
            <w:tcW w:w="10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rPr>
              <w:t>Experts</w:t>
            </w:r>
          </w:p>
        </w:tc>
        <w:tc>
          <w:tcPr>
            <w:tcW w:w="7760" w:type="dxa"/>
            <w:vAlign w:val="bottom"/>
            <w:gridSpan w:val="18"/>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0"/>
        </w:trPr>
        <w:tc>
          <w:tcPr>
            <w:tcW w:w="600" w:type="dxa"/>
            <w:vAlign w:val="bottom"/>
            <w:shd w:val="clear" w:color="auto" w:fill="0000EE"/>
          </w:tcPr>
          <w:p>
            <w:pPr>
              <w:spacing w:after="0" w:line="20" w:lineRule="exact"/>
              <w:rPr>
                <w:sz w:val="1"/>
                <w:szCs w:val="1"/>
                <w:color w:val="auto"/>
              </w:rPr>
            </w:pPr>
          </w:p>
        </w:tc>
        <w:tc>
          <w:tcPr>
            <w:tcW w:w="2460" w:type="dxa"/>
            <w:vAlign w:val="bottom"/>
            <w:gridSpan w:val="1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50"/>
        </w:trPr>
        <w:tc>
          <w:tcPr>
            <w:tcW w:w="8840" w:type="dxa"/>
            <w:vAlign w:val="bottom"/>
            <w:gridSpan w:val="22"/>
          </w:tcPr>
          <w:p>
            <w:pPr>
              <w:spacing w:after="0"/>
              <w:rPr>
                <w:sz w:val="20"/>
                <w:szCs w:val="20"/>
                <w:color w:val="auto"/>
              </w:rPr>
            </w:pPr>
            <w:r>
              <w:rPr>
                <w:rFonts w:ascii="Arial" w:cs="Arial" w:eastAsia="Arial" w:hAnsi="Arial"/>
                <w:sz w:val="18"/>
                <w:szCs w:val="18"/>
                <w:color w:val="0000EE"/>
              </w:rPr>
              <w:t>Changes in Independent Registered Public Accounting Firm</w:t>
            </w:r>
          </w:p>
        </w:tc>
        <w:tc>
          <w:tcPr>
            <w:tcW w:w="21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50"/>
        </w:trPr>
        <w:tc>
          <w:tcPr>
            <w:tcW w:w="476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EE"/>
              </w:rPr>
              <w:t>Where You Can Find More Information</w:t>
            </w:r>
          </w:p>
        </w:tc>
        <w:tc>
          <w:tcPr>
            <w:tcW w:w="4080" w:type="dxa"/>
            <w:vAlign w:val="bottom"/>
            <w:gridSpan w:val="3"/>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3060" w:type="dxa"/>
            <w:vAlign w:val="bottom"/>
            <w:gridSpan w:val="15"/>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50"/>
        </w:trPr>
        <w:tc>
          <w:tcPr>
            <w:tcW w:w="8840" w:type="dxa"/>
            <w:vAlign w:val="bottom"/>
            <w:gridSpan w:val="22"/>
          </w:tcPr>
          <w:p>
            <w:pPr>
              <w:spacing w:after="0"/>
              <w:rPr>
                <w:sz w:val="20"/>
                <w:szCs w:val="20"/>
                <w:color w:val="auto"/>
              </w:rPr>
            </w:pPr>
            <w:r>
              <w:rPr>
                <w:rFonts w:ascii="Arial" w:cs="Arial" w:eastAsia="Arial" w:hAnsi="Arial"/>
                <w:sz w:val="18"/>
                <w:szCs w:val="18"/>
                <w:color w:val="0000EE"/>
              </w:rPr>
              <w:t>Index to Consolidated Financial Statements</w:t>
            </w:r>
          </w:p>
        </w:tc>
        <w:tc>
          <w:tcPr>
            <w:tcW w:w="210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not, and the underwriters have not, authorized anyone to provide any information or to make any representation other than those contained in this prospectus, any amendment or supplement to this prospectus or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 common stock offered hereby, but only under circumstances and in jurisdictions where it is lawful to do so. The information contained in this prospectus, any amendment or supplement to this prospectus or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06"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Market data and certain other statistical information used throughout this prospectus are based on independent industry publications, governmental publications, reports by market research firms, or other independent sources that we believe to be reliable sources.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 contained in this prospectus, and we believe that these sources are reliable; however, we have not independently verified the information contained in such publications.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entitled “Risk Factors” and elsewhere in this prospectus. Some data are also based on our good faith estimates.</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apply for various trademarks that we use in connection with the operation of our business. This prospectus may also contain trademarks, service marks and trade names of third parties, which are the property of their respective owners. Our use or display of third parties’ trademarks, service marks, trade names or products in this prospectus is not intended to, and does not imply a relationship with, or endorsement or sponsorship by us. Solely for convenience, the trademarks, service marks and trade names referred to in this prospectus may appear without the TM or SM symbols, but the omission of such references is not intended to indicate, in any way, that we will not assert, to the fullest extent under applicable law, our rights or the right of the applicable owner of these trademarks, service marks and trade names.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24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52450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PROSPECTUS SUMMARY</w:t>
      </w:r>
    </w:p>
    <w:p>
      <w:pPr>
        <w:spacing w:after="0" w:line="156" w:lineRule="exact"/>
        <w:rPr>
          <w:sz w:val="20"/>
          <w:szCs w:val="20"/>
          <w:color w:val="auto"/>
        </w:rPr>
      </w:pPr>
    </w:p>
    <w:p>
      <w:pPr>
        <w:ind w:left="300" w:right="120"/>
        <w:spacing w:after="0" w:line="241" w:lineRule="auto"/>
        <w:rPr>
          <w:sz w:val="20"/>
          <w:szCs w:val="20"/>
          <w:color w:val="auto"/>
        </w:rPr>
      </w:pPr>
      <w:r>
        <w:rPr>
          <w:rFonts w:ascii="Arial" w:cs="Arial" w:eastAsia="Arial" w:hAnsi="Arial"/>
          <w:sz w:val="18"/>
          <w:szCs w:val="18"/>
          <w:i w:val="1"/>
          <w:iCs w:val="1"/>
          <w:color w:val="auto"/>
        </w:rPr>
        <w:t>This summary highlights information contained in greater detail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included elsewhere in this prospectus. You should also consider, among other things, the information set forth under the sections entitled “Risk Factors,” “Special Note Regarding Forward-Looking Statements,” and “Management’s Discussion and Analysis of Financial Condition and Results of Operations,” in each case included elsewhere in this prospectus.</w:t>
      </w:r>
    </w:p>
    <w:p>
      <w:pPr>
        <w:spacing w:after="0" w:line="116" w:lineRule="exact"/>
        <w:rPr>
          <w:sz w:val="20"/>
          <w:szCs w:val="20"/>
          <w:color w:val="auto"/>
        </w:rPr>
      </w:pPr>
    </w:p>
    <w:p>
      <w:pPr>
        <w:ind w:left="300" w:right="20"/>
        <w:spacing w:after="0" w:line="243" w:lineRule="auto"/>
        <w:rPr>
          <w:sz w:val="20"/>
          <w:szCs w:val="20"/>
          <w:color w:val="auto"/>
        </w:rPr>
      </w:pPr>
      <w:r>
        <w:rPr>
          <w:rFonts w:ascii="Arial" w:cs="Arial" w:eastAsia="Arial" w:hAnsi="Arial"/>
          <w:sz w:val="18"/>
          <w:szCs w:val="18"/>
          <w:i w:val="1"/>
          <w:iCs w:val="1"/>
          <w:color w:val="auto"/>
        </w:rPr>
        <w:t>Prior to the completion of this offering, we will complete a series of transactions pursuant to which Metagenomi Technologies, LLC will merge with and into its wholly-owned subsidiary, Metagenomi, Inc., a Delaware corporation, with Metagenomi, Inc. continuing as the surviving corporation. See “Reorganization.” Except where the context otherwise requires or where otherwise indicated, the terms “Metagenomi,” “we,” “us,” “our,” “our company,” “the company,” and “our business” refer, prior to the Reorganization discussed below, to Metagenomi Technologies, LLC and, after the Reorganization, to Metagenomi, Inc.</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Overview</w:t>
      </w:r>
    </w:p>
    <w:p>
      <w:pPr>
        <w:spacing w:after="0" w:line="148" w:lineRule="exact"/>
        <w:rPr>
          <w:sz w:val="20"/>
          <w:szCs w:val="20"/>
          <w:color w:val="auto"/>
        </w:rPr>
      </w:pPr>
    </w:p>
    <w:p>
      <w:pPr>
        <w:ind w:left="300" w:right="100"/>
        <w:spacing w:after="0" w:line="238" w:lineRule="auto"/>
        <w:rPr>
          <w:sz w:val="20"/>
          <w:szCs w:val="20"/>
          <w:color w:val="auto"/>
        </w:rPr>
      </w:pPr>
      <w:r>
        <w:rPr>
          <w:rFonts w:ascii="Arial" w:cs="Arial" w:eastAsia="Arial" w:hAnsi="Arial"/>
          <w:sz w:val="18"/>
          <w:szCs w:val="18"/>
          <w:color w:val="auto"/>
        </w:rPr>
        <w:t>We are a precision genetic medicines company committed to developing curative therapeutics for patients using our proprietary, comprehensive metagenomics-derived genome editing toolbox. Genetic diseases are caused by a diverse set of mutations that have been largely inaccessible by genome engineering approaches to date. Genetic mutations are seen in a variety of forms, including deletions, insertions, single-base-pair changes and sequence repeats, and are found throughout the genome and across a variety of different cell types, tissues, and organ systems. Additionally, many diseases lack a genetic origin but have the potential to be effectively and permanently addressed through genome editing. We are harnessing the power of metagenomics, the study of genetic material recovered from the natural environment, to unlock four billion years of microbial evolution to discover and develop a suite of novel editing tools capable of correcting any type of genetic mutation found anywhere in the genome. Our comprehensive genome editing toolbox includes programmable nucleases, base editors, and RNA and DNA-mediated integration systems (including prime editing systems and clustered regularly interspaced short palindromic repeat (“CRISPR”)-associated transposases (“CASTs”)). We believe our diverse and modular toolbox positions us to uniquely access the entire genome and select the optimal tool to unlock the full potential of genome editing for patients.</w:t>
      </w:r>
    </w:p>
    <w:p>
      <w:pPr>
        <w:spacing w:after="0" w:line="115" w:lineRule="exact"/>
        <w:rPr>
          <w:sz w:val="20"/>
          <w:szCs w:val="20"/>
          <w:color w:val="auto"/>
        </w:rPr>
      </w:pPr>
    </w:p>
    <w:p>
      <w:pPr>
        <w:ind w:left="300"/>
        <w:spacing w:after="0" w:line="238" w:lineRule="auto"/>
        <w:rPr>
          <w:sz w:val="20"/>
          <w:szCs w:val="20"/>
          <w:color w:val="auto"/>
        </w:rPr>
      </w:pPr>
      <w:r>
        <w:rPr>
          <w:rFonts w:ascii="Arial" w:cs="Arial" w:eastAsia="Arial" w:hAnsi="Arial"/>
          <w:sz w:val="18"/>
          <w:szCs w:val="18"/>
          <w:color w:val="auto"/>
        </w:rPr>
        <w:t>The company was founded by pioneers in the field of metagenomics, a powerful science that allows us to tap into the diversity of microbial life on this planet. The metagenomics process starts by collecting samples from microbe-rich ecosystems ranging from simple home gardens to extreme locations such as hydrothermal vents below the ocean. We then extract the DNA from these environmental samples and deeply sequence them to fully reconstruct the genomes of the resident microbes. Each sample may include thousands of distinct genomes from previously unknown organisms revealing novel cellular machinery that we utilize as building blocks for our editing systems. Using high-throughput screening, artificial intelligence (“AI”), and proprietary algorithms, we rapidly mine through billions of novel proteins from our genome-resolved metagenomics database to create genome editing tools. To date, we have analyzed over 380 trillion of base pairs, predicted over 6 billion proteins, including over 150 million CRISPR-associated (“Cas”) proteins and over 1.4 million CRISPRs, which we estimate has resulted in the identification of over 20,000 novel genome editing systems. We have assembled extensive libraries of millions of nucleases, deaminases, reverse transcriptases (“RTs”) and over one thousand CASTs. Our platform enables us to rapidly and effectively find, screen, and select tools with</w:t>
      </w:r>
    </w:p>
    <w:p>
      <w:pPr>
        <w:spacing w:after="0" w:line="29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42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4420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71" w:lineRule="auto"/>
        <w:rPr>
          <w:sz w:val="20"/>
          <w:szCs w:val="20"/>
          <w:color w:val="auto"/>
        </w:rPr>
      </w:pPr>
      <w:r>
        <w:rPr>
          <w:rFonts w:ascii="Arial" w:cs="Arial" w:eastAsia="Arial" w:hAnsi="Arial"/>
          <w:sz w:val="18"/>
          <w:szCs w:val="18"/>
          <w:color w:val="auto"/>
        </w:rPr>
        <w:t>the highest targetability, specificity, and efficiency in order to develop them into genetic medicines. The iterative nature of our process, underpinned by AI, allows us to continuously push the boundaries of innovation.</w:t>
      </w:r>
    </w:p>
    <w:p>
      <w:pPr>
        <w:spacing w:after="0" w:line="7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Our proprietary toolbox of editing systems</w:t>
      </w:r>
    </w:p>
    <w:p>
      <w:pPr>
        <w:spacing w:after="0" w:line="142" w:lineRule="exact"/>
        <w:rPr>
          <w:sz w:val="20"/>
          <w:szCs w:val="20"/>
          <w:color w:val="auto"/>
        </w:rPr>
      </w:pPr>
    </w:p>
    <w:p>
      <w:pPr>
        <w:jc w:val="both"/>
        <w:ind w:left="300" w:right="180"/>
        <w:spacing w:after="0" w:line="253" w:lineRule="auto"/>
        <w:rPr>
          <w:sz w:val="20"/>
          <w:szCs w:val="20"/>
          <w:color w:val="auto"/>
        </w:rPr>
      </w:pPr>
      <w:r>
        <w:rPr>
          <w:rFonts w:ascii="Arial" w:cs="Arial" w:eastAsia="Arial" w:hAnsi="Arial"/>
          <w:sz w:val="18"/>
          <w:szCs w:val="18"/>
          <w:color w:val="auto"/>
        </w:rPr>
        <w:t>We have developed an expansive and modular toolbox of next-generation genome editing systems that will allow us to interact with the human genome in a site-specific manner, where each tool can be matched to specific disease targets. Figure 1 summarizes our diverse and versatile toolbox of different editing capabilities with the potential to address the full spectrum of genetic diseases.</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Figure 1. </w:t>
      </w:r>
      <w:r>
        <w:rPr>
          <w:rFonts w:ascii="Arial" w:cs="Arial" w:eastAsia="Arial" w:hAnsi="Arial"/>
          <w:sz w:val="18"/>
          <w:szCs w:val="18"/>
          <w:color w:val="auto"/>
        </w:rPr>
        <w:t>Our Toolbox.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00"/>
        <w:spacing w:after="0" w:line="244" w:lineRule="auto"/>
        <w:rPr>
          <w:sz w:val="20"/>
          <w:szCs w:val="20"/>
          <w:color w:val="auto"/>
        </w:rPr>
      </w:pPr>
      <w:r>
        <w:rPr>
          <w:rFonts w:ascii="Arial" w:cs="Arial" w:eastAsia="Arial" w:hAnsi="Arial"/>
          <w:sz w:val="18"/>
          <w:szCs w:val="18"/>
          <w:color w:val="auto"/>
        </w:rPr>
        <w:t>Our programmable nucleases are the backbone of our broad set of genome editing tools. These novel nucleases including type II and type V Cas nucleases, of which some are ultra-small systems that we call SMall Arginine-Rich sysTems (“SMART”) nucleases, have unique targeting abilities and can be programmed by guide RNAs (“gRNA”) to target and cut at specific locations in any genome sequence. Targeted genomic breaks trigger DNA repair pathways that can be used for genome editing, for example, to integrate a gene at a target site (knock-in) or for gene inactivation (knock-down).</w:t>
      </w:r>
    </w:p>
    <w:p>
      <w:pPr>
        <w:spacing w:after="0" w:line="109" w:lineRule="exact"/>
        <w:rPr>
          <w:sz w:val="20"/>
          <w:szCs w:val="20"/>
          <w:color w:val="auto"/>
        </w:rPr>
      </w:pPr>
    </w:p>
    <w:p>
      <w:pPr>
        <w:jc w:val="both"/>
        <w:ind w:left="300" w:right="320"/>
        <w:spacing w:after="0" w:line="253" w:lineRule="auto"/>
        <w:rPr>
          <w:sz w:val="20"/>
          <w:szCs w:val="20"/>
          <w:color w:val="auto"/>
        </w:rPr>
      </w:pPr>
      <w:r>
        <w:rPr>
          <w:rFonts w:ascii="Arial" w:cs="Arial" w:eastAsia="Arial" w:hAnsi="Arial"/>
          <w:sz w:val="18"/>
          <w:szCs w:val="18"/>
          <w:color w:val="auto"/>
        </w:rPr>
        <w:t>Our toolbox contains thousands of CRISPR nucleases with diverse abilities to target different parts of the genome, allowing us to select the ideal nuclease for targeting any given gene in a site-specific manner and potentially overcome a major limitation of first-generation CRISPR/Cas9 systems.</w:t>
      </w:r>
    </w:p>
    <w:p>
      <w:pPr>
        <w:spacing w:after="0" w:line="88" w:lineRule="exact"/>
        <w:rPr>
          <w:sz w:val="20"/>
          <w:szCs w:val="20"/>
          <w:color w:val="auto"/>
        </w:rPr>
      </w:pPr>
    </w:p>
    <w:p>
      <w:pPr>
        <w:jc w:val="both"/>
        <w:ind w:left="300" w:right="260"/>
        <w:spacing w:after="0" w:line="253" w:lineRule="auto"/>
        <w:rPr>
          <w:sz w:val="20"/>
          <w:szCs w:val="20"/>
          <w:color w:val="auto"/>
        </w:rPr>
      </w:pPr>
      <w:r>
        <w:rPr>
          <w:rFonts w:ascii="Arial" w:cs="Arial" w:eastAsia="Arial" w:hAnsi="Arial"/>
          <w:sz w:val="18"/>
          <w:szCs w:val="18"/>
          <w:color w:val="auto"/>
        </w:rPr>
        <w:t>We also modify our nucleases to either nick the genome (i.e., a nickase that cuts one strand of the DNA) or to simply bind to target sites (i.e., a nuclease dead variant). These capabilities (searching, cutting, nicking, and binding) can be leveraged as a chassis by adding on additional effector enzymes to create base editors for</w:t>
      </w: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18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3187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60"/>
        <w:spacing w:after="0"/>
        <w:rPr>
          <w:sz w:val="20"/>
          <w:szCs w:val="20"/>
          <w:color w:val="auto"/>
        </w:rPr>
      </w:pPr>
      <w:r>
        <w:rPr>
          <w:rFonts w:ascii="Arial" w:cs="Arial" w:eastAsia="Arial" w:hAnsi="Arial"/>
          <w:sz w:val="18"/>
          <w:szCs w:val="18"/>
          <w:color w:val="auto"/>
        </w:rPr>
        <w:t>single nucleotide changes, RNA-mediated integration systems for large integrations (“Little RIGS”) for prime editing with small RNA-templated genomic replacements/corrections, and RNA-mediated integration systems for large integrations (“Big RIGS”) for large RNA-templated gene integrations. Using modular engineering, we match nickases with deaminases and RTs for base editing and RNA-mediated integration systems (“RIGS”), respectively. Furthermore, nucleases can be engineered by swapping the search modules of the enzyme to expand the targetability of the chassis, which is critical for site-specific genomic modifications. Given the measured targeting density of our toolbox, we believe that essentially any codon in the human genome could be addressed with our gene editing systems.</w:t>
      </w:r>
    </w:p>
    <w:p>
      <w:pPr>
        <w:spacing w:after="0" w:line="104" w:lineRule="exact"/>
        <w:rPr>
          <w:sz w:val="20"/>
          <w:szCs w:val="20"/>
          <w:color w:val="auto"/>
        </w:rPr>
      </w:pPr>
    </w:p>
    <w:p>
      <w:pPr>
        <w:ind w:left="300" w:right="100"/>
        <w:spacing w:after="0" w:line="261" w:lineRule="auto"/>
        <w:rPr>
          <w:sz w:val="20"/>
          <w:szCs w:val="20"/>
          <w:color w:val="auto"/>
        </w:rPr>
      </w:pPr>
      <w:r>
        <w:rPr>
          <w:rFonts w:ascii="Arial" w:cs="Arial" w:eastAsia="Arial" w:hAnsi="Arial"/>
          <w:sz w:val="17"/>
          <w:szCs w:val="17"/>
          <w:color w:val="auto"/>
        </w:rPr>
        <w:t xml:space="preserve">Our highly active nucleases have gone through extensive preclinical evaluation for both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applications, with demonstration of broad potency of these systems across human primary cells, mouse, and nonhuman primate (“NHP”) models. Our base editors, RIGS, and CAST systems have demonstrated activity across various cell-based models. In addition to evaluating system activity, we have undertaken detailed characterization of guide-specific on- and off-target effects. We routinely identify guides that have no or minimal verifiable off-target editing, thus overcoming another limitation of first-generation CRISPR/Cas9 systems.</w:t>
      </w:r>
    </w:p>
    <w:p>
      <w:pPr>
        <w:spacing w:after="0" w:line="98" w:lineRule="exact"/>
        <w:rPr>
          <w:sz w:val="20"/>
          <w:szCs w:val="20"/>
          <w:color w:val="auto"/>
        </w:rPr>
      </w:pPr>
    </w:p>
    <w:p>
      <w:pPr>
        <w:jc w:val="both"/>
        <w:ind w:left="300" w:right="320"/>
        <w:spacing w:after="0" w:line="253" w:lineRule="auto"/>
        <w:rPr>
          <w:sz w:val="20"/>
          <w:szCs w:val="20"/>
          <w:color w:val="auto"/>
        </w:rPr>
      </w:pPr>
      <w:r>
        <w:rPr>
          <w:rFonts w:ascii="Arial" w:cs="Arial" w:eastAsia="Arial" w:hAnsi="Arial"/>
          <w:sz w:val="17"/>
          <w:szCs w:val="17"/>
          <w:color w:val="auto"/>
        </w:rPr>
        <w:t>In addition to overcoming the activity, targetability, and specificity limitations of first-generation systems, our nuclease toolbox was designed to have broad compatibility with viral and nonviral delivery technologies. This compatibility is accomplished by having a variety of nuclease and gRNA structures, which range in terms of their size and biochemistry. For example, small guides for some type V Cas systems streamline manufacturing for delivery by lipid nanoparticle (“LNP”) approaches, and SMART nickases can be used to construct base editors that are small enough to fit within the packaging limitations of adeno-associated viruses (“AAV”).</w:t>
      </w:r>
    </w:p>
    <w:p>
      <w:pPr>
        <w:ind w:left="300" w:right="340"/>
        <w:spacing w:after="0" w:line="242" w:lineRule="auto"/>
        <w:rPr>
          <w:sz w:val="20"/>
          <w:szCs w:val="20"/>
          <w:color w:val="auto"/>
        </w:rPr>
      </w:pPr>
      <w:r>
        <w:rPr>
          <w:rFonts w:ascii="Arial" w:cs="Arial" w:eastAsia="Arial" w:hAnsi="Arial"/>
          <w:sz w:val="18"/>
          <w:szCs w:val="18"/>
          <w:color w:val="auto"/>
        </w:rPr>
        <w:t>SpCas9, which is currently used in most base editing applications, is roughly three times the size of some of our smallest SMART nickases and cannot be efficiently packaged into a single AAV. Combined, we believe these features will facilitate delivery of our genome editing tools to previously inaccessible tissue types and organ systems.</w:t>
      </w:r>
    </w:p>
    <w:p>
      <w:pPr>
        <w:spacing w:after="0" w:line="112" w:lineRule="exact"/>
        <w:rPr>
          <w:sz w:val="20"/>
          <w:szCs w:val="20"/>
          <w:color w:val="auto"/>
        </w:rPr>
      </w:pPr>
    </w:p>
    <w:p>
      <w:pPr>
        <w:ind w:left="300" w:right="40"/>
        <w:spacing w:after="0"/>
        <w:rPr>
          <w:sz w:val="20"/>
          <w:szCs w:val="20"/>
          <w:color w:val="auto"/>
        </w:rPr>
      </w:pPr>
      <w:r>
        <w:rPr>
          <w:rFonts w:ascii="Arial" w:cs="Arial" w:eastAsia="Arial" w:hAnsi="Arial"/>
          <w:sz w:val="18"/>
          <w:szCs w:val="18"/>
          <w:color w:val="auto"/>
        </w:rPr>
        <w:t>While nucleases, base editors, and prime editors can precisely address a wide variety of genomic modifications required to treat disease, the fact that many diseases are caused by a multitude of mutations across a gene means that a diverse set of editing tools are required to fully address these patient populations. The integration of a complete and functional gene through targeted genome editing may provide a way in which every patient with a given disease could potentially be treated by a single genetic medicine. Big RIGS and CASTs are novel genome editing systems that are under development to achieve what has been a major challenge for the genome editing field—large, targeted genomic integrations. Initial preclinical readouts conducted in mammalian cells indicate that these systems could potentially have a major impact on how diseases caused by loss-of-function mutations, the most common cause of genetic diseases, can be addressed through genome editing.</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Therapeutic translation roadmap and initial programs</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are taking a stepwise approach deploying our genome editing toolbox to develop potentially curative therapies for patients. Our lead programs are selected to both address important diseases and to establish new standards in targetability, precision, efficiency, and scope of editing capabilities. Figure 2 summarizes the portfolio of programs that we and our partners are advancing, as we aim to match the optimal genome editing tools for each indication. Each of these indications were chosen based on our conviction in the underlying biology, existence of validating preclinical and clinical data, availability of pharmacodynamic and translational tools to assess early proof-of-concept, relevant value supporting outcome measures, and ongoing clinical unmet need. Our lead programs capture an ever-growing set of translational learnings and insights that will inform and accelerate future programs.</w:t>
      </w:r>
    </w:p>
    <w:p>
      <w:pPr>
        <w:spacing w:after="0" w:line="29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274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Figure 2: </w:t>
      </w:r>
      <w:r>
        <w:rPr>
          <w:rFonts w:ascii="Arial" w:cs="Arial" w:eastAsia="Arial" w:hAnsi="Arial"/>
          <w:sz w:val="18"/>
          <w:szCs w:val="18"/>
          <w:color w:val="auto"/>
        </w:rPr>
        <w:t>Therapeutic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Hemophilia A—novel, durable, knock-in approach for expression of Factor VIII</w:t>
      </w:r>
    </w:p>
    <w:p>
      <w:pPr>
        <w:spacing w:after="0" w:line="142" w:lineRule="exact"/>
        <w:rPr>
          <w:sz w:val="20"/>
          <w:szCs w:val="20"/>
          <w:color w:val="auto"/>
        </w:rPr>
      </w:pPr>
    </w:p>
    <w:p>
      <w:pPr>
        <w:ind w:left="300" w:right="260"/>
        <w:spacing w:after="0"/>
        <w:rPr>
          <w:sz w:val="20"/>
          <w:szCs w:val="20"/>
          <w:color w:val="auto"/>
        </w:rPr>
      </w:pPr>
      <w:r>
        <w:rPr>
          <w:rFonts w:ascii="Arial" w:cs="Arial" w:eastAsia="Arial" w:hAnsi="Arial"/>
          <w:sz w:val="18"/>
          <w:szCs w:val="18"/>
          <w:color w:val="auto"/>
        </w:rPr>
        <w:t>Hemophilia A is the most common X-linked inherited bleeding disorder and is caused by mutations in the Factor VIII (“FVIII”) gene leading to loss of functional FVIII protein that impacts the body’s ability to form normal clots in response to injury. FVIII is normally produced in the liver within sinusoidal endothelial cells and is then secreted into the bloodstream where it acts as a cofactor for the catalytic activation of Factor X in the clotting pathway. The lack of functional FVIII disrupts the normal clotting cascade and predisposes patients to increased risk of bleeding, either spontaneously or in response to injury or surgery. Repeated bleeding episodes in joints or soft tissues can lead to progressive joint damage, inflammation, pain, and mobility impairment. Intracranial bleeding is of greatest concern as this can be rapidly fatal or lead to major morbidity.</w:t>
      </w:r>
    </w:p>
    <w:p>
      <w:pPr>
        <w:spacing w:after="0" w:line="117" w:lineRule="exact"/>
        <w:rPr>
          <w:sz w:val="20"/>
          <w:szCs w:val="20"/>
          <w:color w:val="auto"/>
        </w:rPr>
      </w:pPr>
    </w:p>
    <w:p>
      <w:pPr>
        <w:ind w:left="300"/>
        <w:spacing w:after="0" w:line="238" w:lineRule="auto"/>
        <w:rPr>
          <w:sz w:val="20"/>
          <w:szCs w:val="20"/>
          <w:color w:val="auto"/>
        </w:rPr>
      </w:pPr>
      <w:r>
        <w:rPr>
          <w:rFonts w:ascii="Arial" w:cs="Arial" w:eastAsia="Arial" w:hAnsi="Arial"/>
          <w:sz w:val="18"/>
          <w:szCs w:val="18"/>
          <w:color w:val="auto"/>
        </w:rPr>
        <w:t>Rather than provide the FVIII gene in an episomal location, which risks dilution from cell division or cell death as well as episomal transcriptional silencing, our approach is to insert a FVIII DNA cassette into a "safe harbor location," within an intron of the albumin gene that is not expected to have deleterious effects. FVIII expression is then driven by the strong native albumin promoter. This approach has previously been demonstrated in preclinical studies to lead to therapeutically relevant expression of a different clotting factor (Factor IX) with negligible impact to systemic circulating albumin levels. Our FVIII knock-in approach is designed to provide stable expression and clinically relevant circulating levels of FVIII, even at low integration rates because of the strength of the albumin promoter. We have demonstrated the feasibility of the FVIII gene knock-in approach in mice with several mouse specific guides and different FVIII DNA donor cassettes, with integration of the FVIII gene leading to FVIII mRNA expression and therapeutically relevant levels of FVIII protein in the blood. We are finalizing donor DNA cassette optimization and performing our next set of NHP studies to demonstrate and quantify FVIII integration and FVIII protein expression. In parallel, we are manufacturing mRNA, guide RNA, AAV and LNP to support future investigational new drug (“IND”)-enabling studies. We expect to select a final development candidate in the first half of 2024 and initiate IND-enabling Good Laboratory Practices studies thereafter.</w:t>
      </w:r>
    </w:p>
    <w:p>
      <w:pPr>
        <w:spacing w:after="0" w:line="2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2844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28447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Primary Hyperoxaluria, Type 1 (“PH1”)—a durable knockdown of HAO1 for substrate reduction therapy</w:t>
      </w:r>
    </w:p>
    <w:p>
      <w:pPr>
        <w:spacing w:after="0" w:line="129" w:lineRule="exact"/>
        <w:rPr>
          <w:sz w:val="20"/>
          <w:szCs w:val="20"/>
          <w:color w:val="auto"/>
        </w:rPr>
      </w:pPr>
    </w:p>
    <w:p>
      <w:pPr>
        <w:ind w:left="300" w:right="40"/>
        <w:spacing w:after="0"/>
        <w:rPr>
          <w:sz w:val="20"/>
          <w:szCs w:val="20"/>
          <w:color w:val="auto"/>
        </w:rPr>
      </w:pPr>
      <w:r>
        <w:rPr>
          <w:rFonts w:ascii="Arial" w:cs="Arial" w:eastAsia="Arial" w:hAnsi="Arial"/>
          <w:sz w:val="18"/>
          <w:szCs w:val="18"/>
          <w:color w:val="auto"/>
        </w:rPr>
        <w:t>PH1 is a rare autosomal recessive metabolic disease arising from loss of function mutations in the alanine-glyoxylate aminotransferase (“AGXT”) gene that encodes alanine glyoxylate aminotransferase. This enzyme is found in peroxisomes of the liver where it catalyzes the conversion of glyoxylate to glycine and pyruvate. Lack of functional AGXT leads to an accumulation of glyoxylate substrate, which is then converted to oxalate and excreted in the kidney. The excess urinary oxalate forms an insoluble complex with urinary calcium that leads to the production of calcium oxalate crystal precipitates. This pathologic process results in the formation of repeated calcium oxalate urolithiasis and nephrolithiasis, which in turn leads to obstructive uropathy, inflammation, fibrosis, tubular toxicity, and progressive loss of kidney function. PH1 is a serious disease that causes kidney failure. More than 70% of individuals with PH1 mutations will develop end-stage renal disease, with a median age in young adulthood.</w:t>
      </w:r>
    </w:p>
    <w:p>
      <w:pPr>
        <w:spacing w:after="0" w:line="113" w:lineRule="exact"/>
        <w:rPr>
          <w:sz w:val="20"/>
          <w:szCs w:val="20"/>
          <w:color w:val="auto"/>
        </w:rPr>
      </w:pPr>
    </w:p>
    <w:p>
      <w:pPr>
        <w:ind w:left="300" w:right="140"/>
        <w:spacing w:after="0" w:line="244" w:lineRule="auto"/>
        <w:rPr>
          <w:sz w:val="20"/>
          <w:szCs w:val="20"/>
          <w:color w:val="auto"/>
        </w:rPr>
      </w:pPr>
      <w:r>
        <w:rPr>
          <w:rFonts w:ascii="Arial" w:cs="Arial" w:eastAsia="Arial" w:hAnsi="Arial"/>
          <w:sz w:val="18"/>
          <w:szCs w:val="18"/>
          <w:color w:val="auto"/>
        </w:rPr>
        <w:t>The goal of our genome editing approach is to durably knock down HAO1 resulting in stable and permanent reduction of oxalate levels to effect a lifelong benefit. We have performed nuclease and guide screening to select an optimal nuclease and gRNA combination. Along with our partner ModernaTX, Inc. (“Moderna”), we have achieved preclinical proof-of-concept in an AGXT knock-out mouse which is an accepted disease model of PH1. We are in the final stages of confirming the candidate to take into NHP studies and are scheduled to begin NHP studies in 2023 to support final development candidate selection thereafter.</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Transthyretin Amyloidosis—a single treatment to eliminate TTR gene expression</w:t>
      </w:r>
    </w:p>
    <w:p>
      <w:pPr>
        <w:spacing w:after="0" w:line="142" w:lineRule="exact"/>
        <w:rPr>
          <w:sz w:val="20"/>
          <w:szCs w:val="20"/>
          <w:color w:val="auto"/>
        </w:rPr>
      </w:pPr>
    </w:p>
    <w:p>
      <w:pPr>
        <w:ind w:left="300"/>
        <w:spacing w:after="0" w:line="237" w:lineRule="auto"/>
        <w:rPr>
          <w:sz w:val="20"/>
          <w:szCs w:val="20"/>
          <w:color w:val="auto"/>
        </w:rPr>
      </w:pPr>
      <w:r>
        <w:rPr>
          <w:rFonts w:ascii="Arial" w:cs="Arial" w:eastAsia="Arial" w:hAnsi="Arial"/>
          <w:sz w:val="18"/>
          <w:szCs w:val="18"/>
          <w:color w:val="auto"/>
        </w:rPr>
        <w:t>Transthyretin amyloidosis is a disease of misfolded and aggregated transthyretin (“TTR”) protein that can deposit in tissues causing organ dysfunction, primarily in the heart and/or peripheral nerves. The TTR protein is normally produced in the liver and circulates in a homotetramer (four copies of the same TTR protein bound together) where it serves as a carrier protein for vitamin A and thyroxine. Certain mutations have been identified that can cause TTR homotetramers to fall apart, misfold, and aggregate into insoluble fibrils that deposit in cardiac tissue and peripheral nerves. However, more commonly, the normal aging process is associated with an increased propensity for TTR misfolding and aggregation in the heart without any known genetic sequence variation. These distinctions lead to TTR amyloidosis being characterized as either hATTR caused by mutations in TTR, or ATTRwt. It is estimated that globally there are approximately 50,000 patients with hATTR and between 300,000 and 500,000 patients with ATTRwt. Among the larger ATTRwt patient population, the most common presentation is a rapidly progressive, restrictive, and hypertrophic cardiomyopathy due to progressive deposition of insoluble TTR fibrils, which result in thickening of the myocardium and stiffening of the ventricles. These pathologic processes lead to impaired diastolic function and progressive cardiomyopathy that typically leads to progressive heart failure and often death within three to five years from disease onset. Although cardiac manifestations are more common and severe, patients with neurologic manifestations also experience significant morbidity, loss of functionality, and impaired quality of life.</w:t>
      </w:r>
    </w:p>
    <w:p>
      <w:pPr>
        <w:spacing w:after="0" w:line="122" w:lineRule="exact"/>
        <w:rPr>
          <w:sz w:val="20"/>
          <w:szCs w:val="20"/>
          <w:color w:val="auto"/>
        </w:rPr>
      </w:pPr>
    </w:p>
    <w:p>
      <w:pPr>
        <w:ind w:left="300" w:right="40"/>
        <w:spacing w:after="0" w:line="242" w:lineRule="auto"/>
        <w:rPr>
          <w:sz w:val="20"/>
          <w:szCs w:val="20"/>
          <w:color w:val="auto"/>
        </w:rPr>
      </w:pPr>
      <w:r>
        <w:rPr>
          <w:rFonts w:ascii="Arial" w:cs="Arial" w:eastAsia="Arial" w:hAnsi="Arial"/>
          <w:sz w:val="18"/>
          <w:szCs w:val="18"/>
          <w:color w:val="auto"/>
        </w:rPr>
        <w:t xml:space="preserve">Using our novel nucleases, we aim to provide efficient TTR knockdown and halt further deposition of amyloid fibrils. Previous experience suggests a clinical correlation between the degree of TTR knockdown and potential for benefit in familial forms of the disease, which are expected to translate similarly to wild type forms. The high degree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editing efficiency and specificity of our nuclease platform suggest the potential for a single treatment to eliminate TTR gene expression and remove the requirement for life-long therapy. Along with our partner Ionis Pharmaceuticals, Inc. (“Ionis”), we are currently in advanced stages of nuclease and guide selection and expect to move into NHP studies in 2024.</w:t>
      </w:r>
    </w:p>
    <w:p>
      <w:pPr>
        <w:spacing w:after="0" w:line="2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33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Further areas of therapeutic activity and interest</w:t>
      </w:r>
    </w:p>
    <w:p>
      <w:pPr>
        <w:spacing w:after="0" w:line="133" w:lineRule="exact"/>
        <w:rPr>
          <w:sz w:val="20"/>
          <w:szCs w:val="20"/>
          <w:color w:val="auto"/>
        </w:rPr>
      </w:pPr>
    </w:p>
    <w:p>
      <w:pPr>
        <w:ind w:left="300" w:right="40"/>
        <w:spacing w:after="0" w:line="244" w:lineRule="auto"/>
        <w:rPr>
          <w:sz w:val="20"/>
          <w:szCs w:val="20"/>
          <w:color w:val="auto"/>
        </w:rPr>
      </w:pPr>
      <w:r>
        <w:rPr>
          <w:rFonts w:ascii="Arial" w:cs="Arial" w:eastAsia="Arial" w:hAnsi="Arial"/>
          <w:sz w:val="18"/>
          <w:szCs w:val="18"/>
          <w:color w:val="auto"/>
        </w:rPr>
        <w:t>In parallel with our translation efforts in our lead programs using our novel programmable nucleases to knock-in or knock-down gene expression in liver-associated targets, we are developing more complex editing systems for liver associated targets as well as moving beyond the liver. Given that our genome editing toolbox contains small editing systems designed to be amenable to viral vector delivery, and given the progress established in targeting the central nervous system and muscle with established AAV capsids, our first extrahepatic indications will be neurodegenerative and neuromuscular diseases.</w:t>
      </w:r>
    </w:p>
    <w:p>
      <w:pPr>
        <w:spacing w:after="0" w:line="109" w:lineRule="exact"/>
        <w:rPr>
          <w:sz w:val="20"/>
          <w:szCs w:val="20"/>
          <w:color w:val="auto"/>
        </w:rPr>
      </w:pPr>
    </w:p>
    <w:p>
      <w:pPr>
        <w:ind w:left="300" w:right="140"/>
        <w:spacing w:after="0" w:line="244" w:lineRule="auto"/>
        <w:rPr>
          <w:sz w:val="20"/>
          <w:szCs w:val="20"/>
          <w:color w:val="auto"/>
        </w:rPr>
      </w:pPr>
      <w:r>
        <w:rPr>
          <w:rFonts w:ascii="Arial" w:cs="Arial" w:eastAsia="Arial" w:hAnsi="Arial"/>
          <w:sz w:val="18"/>
          <w:szCs w:val="18"/>
          <w:color w:val="auto"/>
        </w:rPr>
        <w:t>Building on our experience delivering our nucleases to the liver via LNP systems, we are extending that experience delivering novel RIGS to the liver to potentially correct ATP7B mutations in Wilson’s disease and PiZ mutations in alpha-1-antitrypsin deficiency (“A1AT deficiency”). We are also exploring addressing A1AT deficiency via a base editor approach given the predominant mutation involves a single base pair. Both of these liver diseases have well-defined biology, readily available translational biomarkers for early proof-of-concept, established development pathways based on prior drug approvals, and important unmet medical needs.</w:t>
      </w:r>
    </w:p>
    <w:p>
      <w:pPr>
        <w:spacing w:after="0" w:line="109" w:lineRule="exact"/>
        <w:rPr>
          <w:sz w:val="20"/>
          <w:szCs w:val="20"/>
          <w:color w:val="auto"/>
        </w:rPr>
      </w:pPr>
    </w:p>
    <w:p>
      <w:pPr>
        <w:ind w:left="300" w:right="180"/>
        <w:spacing w:after="0"/>
        <w:rPr>
          <w:sz w:val="20"/>
          <w:szCs w:val="20"/>
          <w:color w:val="auto"/>
        </w:rPr>
      </w:pPr>
      <w:r>
        <w:rPr>
          <w:rFonts w:ascii="Arial" w:cs="Arial" w:eastAsia="Arial" w:hAnsi="Arial"/>
          <w:sz w:val="18"/>
          <w:szCs w:val="18"/>
          <w:color w:val="auto"/>
        </w:rPr>
        <w:t>Building on our experience with our novel type II and type V programmable nucleases, we are extending that experience by working to deliver these nucleases via AAV to the central nervous system to potentially knock-down genetic targets important for both spontaneous and familial amyotrophic lateral sclerosis (SOD1, ATXN2) and Charcot-Marie-Tooth Type 1a (PMP22). In addition, we are working to address a series of mutations common in Duchenne Muscular Dystrophy with our programmable nucleases through exon skipping approaches. In diseases outside of the liver, we intend to initially leverage known biology and clinical validation achieved with RNA-targeted approaches like antisense and small interfering RNA (“siRNA”) to advance more potent and definitive one-time genome editing treatments.</w:t>
      </w:r>
    </w:p>
    <w:p>
      <w:pPr>
        <w:spacing w:after="0" w:line="104" w:lineRule="exact"/>
        <w:rPr>
          <w:sz w:val="20"/>
          <w:szCs w:val="20"/>
          <w:color w:val="auto"/>
        </w:rPr>
      </w:pPr>
    </w:p>
    <w:p>
      <w:pPr>
        <w:ind w:left="300" w:right="100"/>
        <w:spacing w:after="0" w:line="244" w:lineRule="auto"/>
        <w:rPr>
          <w:sz w:val="20"/>
          <w:szCs w:val="20"/>
          <w:color w:val="auto"/>
        </w:rPr>
      </w:pPr>
      <w:r>
        <w:rPr>
          <w:rFonts w:ascii="Arial" w:cs="Arial" w:eastAsia="Arial" w:hAnsi="Arial"/>
          <w:sz w:val="18"/>
          <w:szCs w:val="18"/>
          <w:color w:val="auto"/>
        </w:rPr>
        <w:t>Building on our experience with both knock-in gene expression and smaller gene corrections with RIGS, we are progressing our larger RNA- and DNA-mediated integration systems to potentially provide a single curative approach to cystic fibrosis. As opposed to currently-available therapies limited to subsets of patients with individual mutations, we intend to deliver a full copy of a functional cystic fibrosis transmembrane conductance regulator (“CFTR”) gene. This approach can similarly be pursued across many other diseases characterized by loss of function mutations.</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22"/>
          <w:szCs w:val="22"/>
          <w:b w:val="1"/>
          <w:bCs w:val="1"/>
          <w:u w:val="single" w:color="auto"/>
          <w:color w:val="auto"/>
        </w:rPr>
        <w:t>Our Team</w:t>
      </w:r>
    </w:p>
    <w:p>
      <w:pPr>
        <w:spacing w:after="0" w:line="135" w:lineRule="exact"/>
        <w:rPr>
          <w:sz w:val="20"/>
          <w:szCs w:val="20"/>
          <w:color w:val="auto"/>
        </w:rPr>
      </w:pPr>
    </w:p>
    <w:p>
      <w:pPr>
        <w:jc w:val="both"/>
        <w:ind w:left="300" w:right="560"/>
        <w:spacing w:after="0" w:line="253" w:lineRule="auto"/>
        <w:rPr>
          <w:sz w:val="20"/>
          <w:szCs w:val="20"/>
          <w:color w:val="auto"/>
        </w:rPr>
      </w:pPr>
      <w:r>
        <w:rPr>
          <w:rFonts w:ascii="Arial" w:cs="Arial" w:eastAsia="Arial" w:hAnsi="Arial"/>
          <w:sz w:val="18"/>
          <w:szCs w:val="18"/>
          <w:color w:val="auto"/>
        </w:rPr>
        <w:t>We have assembled a world-class team that is driven by a passion to create potentially curative genetic medicines through the discovery of novel genome editing technologies by harnessing the power of metagenomics. Key members of our executive and leadership team include:</w:t>
      </w:r>
    </w:p>
    <w:p>
      <w:pPr>
        <w:spacing w:after="0" w:line="101" w:lineRule="exact"/>
        <w:rPr>
          <w:sz w:val="20"/>
          <w:szCs w:val="20"/>
          <w:color w:val="auto"/>
        </w:rPr>
      </w:pPr>
    </w:p>
    <w:p>
      <w:pPr>
        <w:ind w:left="480" w:right="180" w:hanging="186"/>
        <w:spacing w:after="0" w:line="253"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Brian C. Thomas, Ph.D., Chief Executive Officer and Founder, </w:t>
      </w:r>
      <w:r>
        <w:rPr>
          <w:rFonts w:ascii="Arial" w:cs="Arial" w:eastAsia="Arial" w:hAnsi="Arial"/>
          <w:sz w:val="18"/>
          <w:szCs w:val="18"/>
          <w:color w:val="auto"/>
        </w:rPr>
        <w:t>prior to co-founding the company, Dr. Thomas spent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20 years in academic research at UC Berkeley helping to pioneer the field of metagenomics. Dr. Thomas has been cited over 16,000 times and listed as an inventor in 28 patent families.</w:t>
      </w:r>
    </w:p>
    <w:p>
      <w:pPr>
        <w:spacing w:after="0" w:line="101" w:lineRule="exact"/>
        <w:rPr>
          <w:rFonts w:ascii="Arial" w:cs="Arial" w:eastAsia="Arial" w:hAnsi="Arial"/>
          <w:sz w:val="18"/>
          <w:szCs w:val="18"/>
          <w:color w:val="auto"/>
        </w:rPr>
      </w:pPr>
    </w:p>
    <w:p>
      <w:pPr>
        <w:ind w:left="480" w:right="60" w:hanging="186"/>
        <w:spacing w:after="0" w:line="253"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Jian Irish, Ph.D., President and Chief Operating Officer</w:t>
      </w:r>
      <w:r>
        <w:rPr>
          <w:rFonts w:ascii="Arial" w:cs="Arial" w:eastAsia="Arial" w:hAnsi="Arial"/>
          <w:sz w:val="18"/>
          <w:szCs w:val="18"/>
          <w:color w:val="auto"/>
        </w:rPr>
        <w:t>, has held biopharma executive leadership roles for nearly 20 years at</w:t>
      </w:r>
      <w:r>
        <w:rPr>
          <w:rFonts w:ascii="Arial" w:cs="Arial" w:eastAsia="Arial" w:hAnsi="Arial"/>
          <w:sz w:val="18"/>
          <w:szCs w:val="18"/>
          <w:b w:val="1"/>
          <w:bCs w:val="1"/>
          <w:color w:val="auto"/>
        </w:rPr>
        <w:t xml:space="preserve"> </w:t>
      </w:r>
      <w:r>
        <w:rPr>
          <w:rFonts w:ascii="Arial" w:cs="Arial" w:eastAsia="Arial" w:hAnsi="Arial"/>
          <w:sz w:val="18"/>
          <w:szCs w:val="18"/>
          <w:color w:val="auto"/>
        </w:rPr>
        <w:t>Kite Pharma / Gilead, Sanofi, and Amgen in drug development and global operations, and has helped launch several breakthrough medicines.</w:t>
      </w:r>
    </w:p>
    <w:p>
      <w:pPr>
        <w:spacing w:after="0" w:line="101" w:lineRule="exact"/>
        <w:rPr>
          <w:rFonts w:ascii="Arial" w:cs="Arial" w:eastAsia="Arial" w:hAnsi="Arial"/>
          <w:sz w:val="18"/>
          <w:szCs w:val="18"/>
          <w:color w:val="auto"/>
        </w:rPr>
      </w:pPr>
    </w:p>
    <w:p>
      <w:pPr>
        <w:ind w:left="480" w:hanging="186"/>
        <w:spacing w:after="0" w:line="253"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Sarah Noonberg, M.D., Ph.D., Chief Medical Officer</w:t>
      </w:r>
      <w:r>
        <w:rPr>
          <w:rFonts w:ascii="Arial" w:cs="Arial" w:eastAsia="Arial" w:hAnsi="Arial"/>
          <w:sz w:val="18"/>
          <w:szCs w:val="18"/>
          <w:color w:val="auto"/>
        </w:rPr>
        <w:t>, has spent more than 20 years in translational and clinical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roles with a track record of advancing therapeutic programs from discovery to commercialization, including at Medivation and BioMarin.</w:t>
      </w:r>
    </w:p>
    <w:p>
      <w:pPr>
        <w:spacing w:after="0" w:line="2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531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80" w:right="60" w:hanging="186"/>
        <w:spacing w:after="0" w:line="253"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Alan Brooks, Ph.D., SVP of Preclinical</w:t>
      </w:r>
      <w:r>
        <w:rPr>
          <w:rFonts w:ascii="Arial" w:cs="Arial" w:eastAsia="Arial" w:hAnsi="Arial"/>
          <w:sz w:val="18"/>
          <w:szCs w:val="18"/>
          <w:color w:val="auto"/>
        </w:rPr>
        <w:t>, has worked on genetic medicines providing scientific leadership in translational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for more than 25 years, including at Casebia Therapeutics and Bayer Healthcare. Dr. Brooks’ research has led to 20 publications and numerous patent filings.</w:t>
      </w:r>
    </w:p>
    <w:p>
      <w:pPr>
        <w:spacing w:after="0" w:line="101" w:lineRule="exact"/>
        <w:rPr>
          <w:rFonts w:ascii="Arial" w:cs="Arial" w:eastAsia="Arial" w:hAnsi="Arial"/>
          <w:sz w:val="18"/>
          <w:szCs w:val="18"/>
          <w:color w:val="auto"/>
        </w:rPr>
      </w:pPr>
    </w:p>
    <w:p>
      <w:pPr>
        <w:ind w:left="480" w:right="80" w:hanging="186"/>
        <w:spacing w:after="0" w:line="253"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Simon Harnest, Chief Investment Officer and SVP of Strategy</w:t>
      </w:r>
      <w:r>
        <w:rPr>
          <w:rFonts w:ascii="Arial" w:cs="Arial" w:eastAsia="Arial" w:hAnsi="Arial"/>
          <w:sz w:val="18"/>
          <w:szCs w:val="18"/>
          <w:color w:val="auto"/>
        </w:rPr>
        <w:t>, has held leadership roles in corporate finance and strategy in</w:t>
      </w:r>
      <w:r>
        <w:rPr>
          <w:rFonts w:ascii="Arial" w:cs="Arial" w:eastAsia="Arial" w:hAnsi="Arial"/>
          <w:sz w:val="18"/>
          <w:szCs w:val="18"/>
          <w:b w:val="1"/>
          <w:bCs w:val="1"/>
          <w:color w:val="auto"/>
        </w:rPr>
        <w:t xml:space="preserve"> </w:t>
      </w:r>
      <w:r>
        <w:rPr>
          <w:rFonts w:ascii="Arial" w:cs="Arial" w:eastAsia="Arial" w:hAnsi="Arial"/>
          <w:sz w:val="18"/>
          <w:szCs w:val="18"/>
          <w:color w:val="auto"/>
        </w:rPr>
        <w:t>the life sciences sector, having raised over $1bn in public and private capital, including leading Cellectis’ U.S. IPO and subsequent spin-out and IPO of Calyxt.</w:t>
      </w:r>
    </w:p>
    <w:p>
      <w:pPr>
        <w:spacing w:after="0" w:line="101" w:lineRule="exact"/>
        <w:rPr>
          <w:rFonts w:ascii="Arial" w:cs="Arial" w:eastAsia="Arial" w:hAnsi="Arial"/>
          <w:sz w:val="18"/>
          <w:szCs w:val="18"/>
          <w:color w:val="auto"/>
        </w:rPr>
      </w:pPr>
    </w:p>
    <w:p>
      <w:pPr>
        <w:jc w:val="both"/>
        <w:ind w:left="480" w:hanging="186"/>
        <w:spacing w:after="0" w:line="253"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Christopher T. Brown, Ph.D., VP of Discovery, </w:t>
      </w:r>
      <w:r>
        <w:rPr>
          <w:rFonts w:ascii="Arial" w:cs="Arial" w:eastAsia="Arial" w:hAnsi="Arial"/>
          <w:sz w:val="18"/>
          <w:szCs w:val="18"/>
          <w:color w:val="auto"/>
        </w:rPr>
        <w:t>is a former scientist at the Jill F. Banfield laboratory at UC Berkeley and an expert</w:t>
      </w:r>
      <w:r>
        <w:rPr>
          <w:rFonts w:ascii="Arial" w:cs="Arial" w:eastAsia="Arial" w:hAnsi="Arial"/>
          <w:sz w:val="18"/>
          <w:szCs w:val="18"/>
          <w:b w:val="1"/>
          <w:bCs w:val="1"/>
          <w:color w:val="auto"/>
        </w:rPr>
        <w:t xml:space="preserve"> </w:t>
      </w:r>
      <w:r>
        <w:rPr>
          <w:rFonts w:ascii="Arial" w:cs="Arial" w:eastAsia="Arial" w:hAnsi="Arial"/>
          <w:sz w:val="18"/>
          <w:szCs w:val="18"/>
          <w:color w:val="auto"/>
        </w:rPr>
        <w:t>in using metagenomics to discover novel microbial systems for use in genome editing. Dr. Brown’s research has resulted in over 35 publications and over 20 patent family filings.</w:t>
      </w:r>
    </w:p>
    <w:p>
      <w:pPr>
        <w:spacing w:after="0" w:line="101" w:lineRule="exact"/>
        <w:rPr>
          <w:rFonts w:ascii="Arial" w:cs="Arial" w:eastAsia="Arial" w:hAnsi="Arial"/>
          <w:sz w:val="18"/>
          <w:szCs w:val="18"/>
          <w:color w:val="auto"/>
        </w:rPr>
      </w:pPr>
    </w:p>
    <w:p>
      <w:pPr>
        <w:ind w:left="480" w:right="40" w:hanging="186"/>
        <w:spacing w:after="0" w:line="271"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Simren Delaney, Ph.D., LLM, VP of Legal, </w:t>
      </w:r>
      <w:r>
        <w:rPr>
          <w:rFonts w:ascii="Arial" w:cs="Arial" w:eastAsia="Arial" w:hAnsi="Arial"/>
          <w:sz w:val="18"/>
          <w:szCs w:val="18"/>
          <w:color w:val="auto"/>
        </w:rPr>
        <w:t>is specialized in Intellectual Property and Patent law, having previously worked at</w:t>
      </w:r>
      <w:r>
        <w:rPr>
          <w:rFonts w:ascii="Arial" w:cs="Arial" w:eastAsia="Arial" w:hAnsi="Arial"/>
          <w:sz w:val="18"/>
          <w:szCs w:val="18"/>
          <w:b w:val="1"/>
          <w:bCs w:val="1"/>
          <w:color w:val="auto"/>
        </w:rPr>
        <w:t xml:space="preserve"> </w:t>
      </w:r>
      <w:r>
        <w:rPr>
          <w:rFonts w:ascii="Arial" w:cs="Arial" w:eastAsia="Arial" w:hAnsi="Arial"/>
          <w:sz w:val="18"/>
          <w:szCs w:val="18"/>
          <w:color w:val="auto"/>
        </w:rPr>
        <w:t>Wilson Sonsini Goodrich &amp; Rosati, and plays an instrumental role in driving the development of the company’s growing IP portfolio.</w:t>
      </w:r>
    </w:p>
    <w:p>
      <w:pPr>
        <w:spacing w:after="0" w:line="86" w:lineRule="exact"/>
        <w:rPr>
          <w:rFonts w:ascii="Arial" w:cs="Arial" w:eastAsia="Arial" w:hAnsi="Arial"/>
          <w:sz w:val="18"/>
          <w:szCs w:val="18"/>
          <w:color w:val="auto"/>
        </w:rPr>
      </w:pPr>
    </w:p>
    <w:p>
      <w:pPr>
        <w:ind w:left="480" w:right="680" w:hanging="186"/>
        <w:spacing w:after="0" w:line="271"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Michael Conway, MBA, CPA, VP of Finance</w:t>
      </w:r>
      <w:r>
        <w:rPr>
          <w:rFonts w:ascii="Arial" w:cs="Arial" w:eastAsia="Arial" w:hAnsi="Arial"/>
          <w:sz w:val="18"/>
          <w:szCs w:val="18"/>
          <w:color w:val="auto"/>
        </w:rPr>
        <w:t>, has spent nearly 20 years in finance leadership positions at life science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companies, including Adamas Pharmaceuticals, InterMune, and Intel.</w:t>
      </w:r>
    </w:p>
    <w:p>
      <w:pPr>
        <w:spacing w:after="0" w:line="73" w:lineRule="exact"/>
        <w:rPr>
          <w:sz w:val="20"/>
          <w:szCs w:val="20"/>
          <w:color w:val="auto"/>
        </w:rPr>
      </w:pPr>
    </w:p>
    <w:p>
      <w:pPr>
        <w:ind w:left="300" w:right="200"/>
        <w:spacing w:after="0" w:line="271" w:lineRule="auto"/>
        <w:rPr>
          <w:sz w:val="20"/>
          <w:szCs w:val="20"/>
          <w:color w:val="auto"/>
        </w:rPr>
      </w:pPr>
      <w:r>
        <w:rPr>
          <w:rFonts w:ascii="Arial" w:cs="Arial" w:eastAsia="Arial" w:hAnsi="Arial"/>
          <w:sz w:val="18"/>
          <w:szCs w:val="18"/>
          <w:color w:val="auto"/>
        </w:rPr>
        <w:t>Our company is supported by our board of directors, Scientific Advisory Board, and a leading syndicate of investors, with more than 30 funds supporting our Series B and Series B-1 preferred unit financings.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22"/>
          <w:szCs w:val="22"/>
          <w:b w:val="1"/>
          <w:bCs w:val="1"/>
          <w:u w:val="single" w:color="auto"/>
          <w:color w:val="auto"/>
        </w:rPr>
        <w:t>Our Strategy</w:t>
      </w:r>
    </w:p>
    <w:p>
      <w:pPr>
        <w:spacing w:after="0" w:line="135" w:lineRule="exact"/>
        <w:rPr>
          <w:sz w:val="20"/>
          <w:szCs w:val="20"/>
          <w:color w:val="auto"/>
        </w:rPr>
      </w:pPr>
    </w:p>
    <w:p>
      <w:pPr>
        <w:ind w:left="300" w:right="420"/>
        <w:spacing w:after="0" w:line="271" w:lineRule="auto"/>
        <w:rPr>
          <w:sz w:val="20"/>
          <w:szCs w:val="20"/>
          <w:color w:val="auto"/>
        </w:rPr>
      </w:pPr>
      <w:r>
        <w:rPr>
          <w:rFonts w:ascii="Arial" w:cs="Arial" w:eastAsia="Arial" w:hAnsi="Arial"/>
          <w:sz w:val="18"/>
          <w:szCs w:val="18"/>
          <w:color w:val="auto"/>
        </w:rPr>
        <w:t>Our goal is to harness the power of our proprietary metagenomics platform to create curative genetic medicines for patients. Key components of our strategy to achieve this goal include:</w:t>
      </w:r>
    </w:p>
    <w:p>
      <w:pPr>
        <w:spacing w:after="0" w:line="86" w:lineRule="exact"/>
        <w:rPr>
          <w:sz w:val="20"/>
          <w:szCs w:val="20"/>
          <w:color w:val="auto"/>
        </w:rPr>
      </w:pPr>
    </w:p>
    <w:p>
      <w:pPr>
        <w:ind w:left="480" w:hanging="186"/>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our leadership position in metagenomics to continually advance and expand innovative genome editing tools.</w:t>
      </w:r>
    </w:p>
    <w:p>
      <w:pPr>
        <w:spacing w:after="0" w:line="144" w:lineRule="exact"/>
        <w:rPr>
          <w:rFonts w:ascii="Arial" w:cs="Arial" w:eastAsia="Arial" w:hAnsi="Arial"/>
          <w:sz w:val="18"/>
          <w:szCs w:val="18"/>
          <w:color w:val="auto"/>
        </w:rPr>
      </w:pPr>
    </w:p>
    <w:p>
      <w:pPr>
        <w:ind w:left="480" w:hanging="186"/>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and deliver products that make precise modifications to the human genome to cure disease.</w:t>
      </w:r>
    </w:p>
    <w:p>
      <w:pPr>
        <w:spacing w:after="0" w:line="144" w:lineRule="exact"/>
        <w:rPr>
          <w:rFonts w:ascii="Arial" w:cs="Arial" w:eastAsia="Arial" w:hAnsi="Arial"/>
          <w:sz w:val="18"/>
          <w:szCs w:val="18"/>
          <w:color w:val="auto"/>
        </w:rPr>
      </w:pPr>
    </w:p>
    <w:p>
      <w:pPr>
        <w:ind w:left="480" w:hanging="186"/>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 a fully integrated genome editing company.</w:t>
      </w:r>
    </w:p>
    <w:p>
      <w:pPr>
        <w:spacing w:after="0" w:line="144" w:lineRule="exact"/>
        <w:rPr>
          <w:rFonts w:ascii="Arial" w:cs="Arial" w:eastAsia="Arial" w:hAnsi="Arial"/>
          <w:sz w:val="18"/>
          <w:szCs w:val="18"/>
          <w:color w:val="auto"/>
        </w:rPr>
      </w:pPr>
    </w:p>
    <w:p>
      <w:pPr>
        <w:ind w:left="480" w:right="60" w:hanging="186"/>
        <w:spacing w:after="0" w:line="271"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therapeutic impact to patients through continued investment in business development and enabling partnerships, including with our existing partners Moderna, Ionis, and Affini-T Therapeutics, Inc.</w:t>
      </w:r>
    </w:p>
    <w:p>
      <w:pPr>
        <w:spacing w:after="0" w:line="86" w:lineRule="exact"/>
        <w:rPr>
          <w:rFonts w:ascii="Arial" w:cs="Arial" w:eastAsia="Arial" w:hAnsi="Arial"/>
          <w:sz w:val="18"/>
          <w:szCs w:val="18"/>
          <w:color w:val="auto"/>
        </w:rPr>
      </w:pPr>
    </w:p>
    <w:p>
      <w:pPr>
        <w:ind w:left="480" w:hanging="186"/>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our entrepreneurial outlook, scientifically rigorous approach, and culture of tireless commitment to patients.</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Risks Associated with Our Business</w:t>
      </w:r>
    </w:p>
    <w:p>
      <w:pPr>
        <w:spacing w:after="0" w:line="148" w:lineRule="exact"/>
        <w:rPr>
          <w:sz w:val="20"/>
          <w:szCs w:val="20"/>
          <w:color w:val="auto"/>
        </w:rPr>
      </w:pPr>
    </w:p>
    <w:p>
      <w:pPr>
        <w:ind w:left="480" w:right="60" w:hanging="186"/>
        <w:spacing w:after="0" w:line="271"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significant losses since inception. We expect to incur losses for the foreseeable future and may never achieve or maintain profitability.</w:t>
      </w:r>
    </w:p>
    <w:p>
      <w:pPr>
        <w:spacing w:after="0" w:line="86" w:lineRule="exact"/>
        <w:rPr>
          <w:rFonts w:ascii="Arial" w:cs="Arial" w:eastAsia="Arial" w:hAnsi="Arial"/>
          <w:sz w:val="18"/>
          <w:szCs w:val="18"/>
          <w:color w:val="auto"/>
        </w:rPr>
      </w:pPr>
    </w:p>
    <w:p>
      <w:pPr>
        <w:ind w:left="480" w:hanging="186"/>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become profitable.</w:t>
      </w:r>
    </w:p>
    <w:p>
      <w:pPr>
        <w:spacing w:after="0" w:line="144" w:lineRule="exact"/>
        <w:rPr>
          <w:rFonts w:ascii="Arial" w:cs="Arial" w:eastAsia="Arial" w:hAnsi="Arial"/>
          <w:sz w:val="18"/>
          <w:szCs w:val="18"/>
          <w:color w:val="auto"/>
        </w:rPr>
      </w:pPr>
    </w:p>
    <w:p>
      <w:pPr>
        <w:ind w:left="480" w:right="20" w:hanging="186"/>
        <w:spacing w:after="0" w:line="253"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need substantial additional funding in addition to the net proceeds we receive from this offering. If we are unable to raise additional capital when needed on acceptable terms, or at all, we may be forced to delay, reduce, or terminate certain research and product development programs, future commercialization efforts or other operations.</w:t>
      </w:r>
    </w:p>
    <w:p>
      <w:pPr>
        <w:spacing w:after="0" w:line="2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5"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276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3276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80" w:right="60" w:hanging="186"/>
        <w:spacing w:after="0" w:line="247"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very early in our development efforts, and we have not yet initiated IND-enabling studies or clinical development of any product candidate. As a result, we expect it will be many years before we commercialize any product candidate, if ever. If we are unable to advance our current or future product candidates into and through clinical trials, obtain regulatory approval and ultimately commercialize our product candidates or experience significant delays in doing so, our business will be materially harmed.</w:t>
      </w:r>
    </w:p>
    <w:p>
      <w:pPr>
        <w:spacing w:after="0" w:line="106" w:lineRule="exact"/>
        <w:rPr>
          <w:rFonts w:ascii="Arial" w:cs="Arial" w:eastAsia="Arial" w:hAnsi="Arial"/>
          <w:sz w:val="18"/>
          <w:szCs w:val="18"/>
          <w:color w:val="auto"/>
        </w:rPr>
      </w:pPr>
    </w:p>
    <w:p>
      <w:pPr>
        <w:ind w:left="480" w:hanging="186"/>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additional development challenges and risks due to the novel nature of our genome editing technology.</w:t>
      </w:r>
    </w:p>
    <w:p>
      <w:pPr>
        <w:spacing w:after="0" w:line="144" w:lineRule="exact"/>
        <w:rPr>
          <w:rFonts w:ascii="Arial" w:cs="Arial" w:eastAsia="Arial" w:hAnsi="Arial"/>
          <w:sz w:val="18"/>
          <w:szCs w:val="18"/>
          <w:color w:val="auto"/>
        </w:rPr>
      </w:pPr>
    </w:p>
    <w:p>
      <w:pPr>
        <w:jc w:val="both"/>
        <w:ind w:left="480" w:right="80" w:hanging="186"/>
        <w:spacing w:after="0" w:line="253"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Because genome editing is novel and the regulatory landscape that will govern our potential product candidates is uncertain and may change, we cannot predict the time and cost of obtaining regulatory approval, if we receive it at all, for our potential product candidates.</w:t>
      </w:r>
    </w:p>
    <w:p>
      <w:pPr>
        <w:spacing w:after="0" w:line="101" w:lineRule="exact"/>
        <w:rPr>
          <w:rFonts w:ascii="Arial" w:cs="Arial" w:eastAsia="Arial" w:hAnsi="Arial"/>
          <w:sz w:val="18"/>
          <w:szCs w:val="18"/>
          <w:color w:val="auto"/>
        </w:rPr>
      </w:pPr>
    </w:p>
    <w:p>
      <w:pPr>
        <w:ind w:left="480" w:right="280" w:hanging="186"/>
        <w:spacing w:after="0" w:line="247"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genome editing field is relatively new and is evolving rapidly. We are focusing our research and development efforts on genome editing using programmable nucleases, base editing, and RNA and DNA-mediated integration systems (including prime editors and Cas transposes), but other genome editing technologies may be discovered that provide significant advantages over such technologies, which could materially harm our business.</w:t>
      </w:r>
    </w:p>
    <w:p>
      <w:pPr>
        <w:spacing w:after="0" w:line="106" w:lineRule="exact"/>
        <w:rPr>
          <w:rFonts w:ascii="Arial" w:cs="Arial" w:eastAsia="Arial" w:hAnsi="Arial"/>
          <w:sz w:val="18"/>
          <w:szCs w:val="18"/>
          <w:color w:val="auto"/>
        </w:rPr>
      </w:pPr>
    </w:p>
    <w:p>
      <w:pPr>
        <w:ind w:left="480" w:right="120" w:hanging="186"/>
        <w:spacing w:after="0" w:line="253"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any of the product candidates we may develop or the delivery modes we rely on cause undesirable side effects, it could delay or prevent their regulatory approval, limit the commercial potential or result in significant negative consequences following any potential regulatory approval.</w:t>
      </w:r>
    </w:p>
    <w:p>
      <w:pPr>
        <w:spacing w:after="0" w:line="101" w:lineRule="exact"/>
        <w:rPr>
          <w:rFonts w:ascii="Arial" w:cs="Arial" w:eastAsia="Arial" w:hAnsi="Arial"/>
          <w:sz w:val="18"/>
          <w:szCs w:val="18"/>
          <w:color w:val="auto"/>
        </w:rPr>
      </w:pPr>
    </w:p>
    <w:p>
      <w:pPr>
        <w:ind w:left="480" w:hanging="186"/>
        <w:spacing w:after="0" w:line="247"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Positive results from early preclinical studies of any product candidates we may develop are not necessarily predictive of the results of later preclinical studies and any future clinical trials of such product candidates. If we cannot replicate the positive results from our earlier preclinical studies of any product candidates we may develop in our later preclinical studies and future clinical trials, we may be unable to successfully develop, obtain regulatory approval for and commercialize such product candidates.</w:t>
      </w:r>
    </w:p>
    <w:p>
      <w:pPr>
        <w:spacing w:after="0" w:line="106" w:lineRule="exact"/>
        <w:rPr>
          <w:rFonts w:ascii="Arial" w:cs="Arial" w:eastAsia="Arial" w:hAnsi="Arial"/>
          <w:sz w:val="18"/>
          <w:szCs w:val="18"/>
          <w:color w:val="auto"/>
        </w:rPr>
      </w:pPr>
    </w:p>
    <w:p>
      <w:pPr>
        <w:ind w:left="480" w:hanging="186"/>
        <w:spacing w:after="0" w:line="253"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future clinical trials given the limited number of patients who have the diseases any product candidates we identify or develop are intended to target. If we experience delays or difficulties in the enrollment of patients in clinical trials, our clinical development activities and our receipt of necessary regulatory approvals could be delayed or prevented.</w:t>
      </w:r>
    </w:p>
    <w:p>
      <w:pPr>
        <w:spacing w:after="0" w:line="101" w:lineRule="exact"/>
        <w:rPr>
          <w:rFonts w:ascii="Arial" w:cs="Arial" w:eastAsia="Arial" w:hAnsi="Arial"/>
          <w:sz w:val="18"/>
          <w:szCs w:val="18"/>
          <w:color w:val="auto"/>
        </w:rPr>
      </w:pPr>
    </w:p>
    <w:p>
      <w:pPr>
        <w:ind w:left="480" w:right="360" w:hanging="186"/>
        <w:spacing w:after="0" w:line="253"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Genetic therapies are novel, and any product candidates we develop may be complex and difficult to manufacture. We could experience delays in satisfying regulatory authorities or production problems that result in delays in our development programs, limit the supply of the product candidates we may develop or otherwise harm our business.</w:t>
      </w:r>
    </w:p>
    <w:p>
      <w:pPr>
        <w:spacing w:after="0" w:line="101" w:lineRule="exact"/>
        <w:rPr>
          <w:rFonts w:ascii="Arial" w:cs="Arial" w:eastAsia="Arial" w:hAnsi="Arial"/>
          <w:sz w:val="18"/>
          <w:szCs w:val="18"/>
          <w:color w:val="auto"/>
        </w:rPr>
      </w:pPr>
    </w:p>
    <w:p>
      <w:pPr>
        <w:jc w:val="both"/>
        <w:ind w:left="480" w:right="20" w:hanging="186"/>
        <w:spacing w:after="0" w:line="253"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101" w:lineRule="exact"/>
        <w:rPr>
          <w:rFonts w:ascii="Arial" w:cs="Arial" w:eastAsia="Arial" w:hAnsi="Arial"/>
          <w:sz w:val="18"/>
          <w:szCs w:val="18"/>
          <w:color w:val="auto"/>
        </w:rPr>
      </w:pPr>
    </w:p>
    <w:p>
      <w:pPr>
        <w:ind w:left="480" w:right="60" w:hanging="186"/>
        <w:spacing w:after="0" w:line="244"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While we intend to seek designations for our potential product candidates with the U.S. Food and Drug Administration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potential product candidates are granted such designations, we may not be able to realize the intended benefits of such designations.</w:t>
      </w:r>
    </w:p>
    <w:p>
      <w:pPr>
        <w:spacing w:after="0" w:line="2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905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480" w:right="140" w:hanging="186"/>
        <w:spacing w:after="0" w:line="253"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Because we are developing product candidates in the field of genetic medicines in which there is little clinical experience, there is increased risk that the FDA, the European Medicines Agency or other regulatory authorities may not consider the endpoints of our clinical trials to provide clinically meaningful results and that these results may be difficult to analyze.</w:t>
      </w:r>
    </w:p>
    <w:p>
      <w:pPr>
        <w:spacing w:after="0" w:line="101" w:lineRule="exact"/>
        <w:rPr>
          <w:rFonts w:ascii="Arial" w:cs="Arial" w:eastAsia="Arial" w:hAnsi="Arial"/>
          <w:sz w:val="18"/>
          <w:szCs w:val="18"/>
          <w:color w:val="auto"/>
        </w:rPr>
      </w:pPr>
    </w:p>
    <w:p>
      <w:pPr>
        <w:ind w:left="480" w:right="20" w:hanging="186"/>
        <w:spacing w:after="0" w:line="275"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preclinical studies or clinical trials of any product candidates we may identify and develop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84" w:lineRule="exact"/>
        <w:rPr>
          <w:rFonts w:ascii="Arial" w:cs="Arial" w:eastAsia="Arial" w:hAnsi="Arial"/>
          <w:sz w:val="17"/>
          <w:szCs w:val="17"/>
          <w:color w:val="auto"/>
        </w:rPr>
      </w:pPr>
    </w:p>
    <w:p>
      <w:pPr>
        <w:ind w:left="480" w:right="100" w:hanging="186"/>
        <w:spacing w:after="0" w:line="253"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if we complete the necessary clinical trials, we cannot predict when, or if, we will obtain regulatory approval to commercialize a product candidate we may develop in the United States or any other jurisdiction, and any such approval may be for a more narrow indication than we seek.</w:t>
      </w:r>
    </w:p>
    <w:p>
      <w:pPr>
        <w:spacing w:after="0" w:line="101" w:lineRule="exact"/>
        <w:rPr>
          <w:rFonts w:ascii="Arial" w:cs="Arial" w:eastAsia="Arial" w:hAnsi="Arial"/>
          <w:sz w:val="18"/>
          <w:szCs w:val="18"/>
          <w:color w:val="auto"/>
        </w:rPr>
      </w:pPr>
    </w:p>
    <w:p>
      <w:pPr>
        <w:ind w:left="480" w:right="80" w:hanging="186"/>
        <w:spacing w:after="0" w:line="271"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conflicts arise between us and our collaborators or strategic partners, these parties may act in a manner adverse to us and could limit our ability to implement our strategies.</w:t>
      </w:r>
    </w:p>
    <w:p>
      <w:pPr>
        <w:spacing w:after="0" w:line="86" w:lineRule="exact"/>
        <w:rPr>
          <w:rFonts w:ascii="Arial" w:cs="Arial" w:eastAsia="Arial" w:hAnsi="Arial"/>
          <w:sz w:val="18"/>
          <w:szCs w:val="18"/>
          <w:color w:val="auto"/>
        </w:rPr>
      </w:pPr>
    </w:p>
    <w:p>
      <w:pPr>
        <w:ind w:left="480" w:right="120" w:hanging="186"/>
        <w:spacing w:after="0" w:line="253"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entered into collaborations, and may enter into additional collaborations, with third parties for the research, development, manufacture and commercialization of programs or product candidates. If these collaborations are not successful, our business could be adversely affected.</w:t>
      </w:r>
    </w:p>
    <w:p>
      <w:pPr>
        <w:spacing w:after="0" w:line="101" w:lineRule="exact"/>
        <w:rPr>
          <w:rFonts w:ascii="Arial" w:cs="Arial" w:eastAsia="Arial" w:hAnsi="Arial"/>
          <w:sz w:val="18"/>
          <w:szCs w:val="18"/>
          <w:color w:val="auto"/>
        </w:rPr>
      </w:pPr>
    </w:p>
    <w:p>
      <w:pPr>
        <w:ind w:left="480" w:hanging="186"/>
        <w:spacing w:after="0" w:line="271"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collaborators and strategic partners may control aspects of our clinical trials, which could result in delays and other obstacles in the commercialization of our proposed products and materially harm our results of operations.</w:t>
      </w:r>
    </w:p>
    <w:p>
      <w:pPr>
        <w:spacing w:after="0" w:line="86" w:lineRule="exact"/>
        <w:rPr>
          <w:rFonts w:ascii="Arial" w:cs="Arial" w:eastAsia="Arial" w:hAnsi="Arial"/>
          <w:sz w:val="18"/>
          <w:szCs w:val="18"/>
          <w:color w:val="auto"/>
        </w:rPr>
      </w:pPr>
    </w:p>
    <w:p>
      <w:pPr>
        <w:ind w:left="480" w:right="160" w:hanging="186"/>
        <w:spacing w:after="0" w:line="271"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our Chief Executive Officer and other key executives and to attract, retain, and motivate qualified personnel.</w:t>
      </w:r>
    </w:p>
    <w:p>
      <w:pPr>
        <w:spacing w:after="0" w:line="86" w:lineRule="exact"/>
        <w:rPr>
          <w:rFonts w:ascii="Arial" w:cs="Arial" w:eastAsia="Arial" w:hAnsi="Arial"/>
          <w:sz w:val="18"/>
          <w:szCs w:val="18"/>
          <w:color w:val="auto"/>
        </w:rPr>
      </w:pPr>
    </w:p>
    <w:p>
      <w:pPr>
        <w:ind w:left="480" w:right="120" w:hanging="186"/>
        <w:spacing w:after="0" w:line="247"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commercial success depends on our ability to obtain, maintain, enforce, and otherwise protect our intellectual property and proprietary technology, and if the scope of the intellectual property protection obtained is not sufficiently broad, our competitors or other third parties could develop and commercialize products and product candidates similar to ours and our ability to successfully develop and commercialize our genome editing systems may be adversely affected.</w:t>
      </w:r>
    </w:p>
    <w:p>
      <w:pPr>
        <w:spacing w:after="0" w:line="106" w:lineRule="exact"/>
        <w:rPr>
          <w:rFonts w:ascii="Arial" w:cs="Arial" w:eastAsia="Arial" w:hAnsi="Arial"/>
          <w:sz w:val="18"/>
          <w:szCs w:val="18"/>
          <w:color w:val="auto"/>
        </w:rPr>
      </w:pPr>
    </w:p>
    <w:p>
      <w:pPr>
        <w:ind w:left="480" w:hanging="186"/>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Intellectual property rights do not necessarily address all potential threats to our business.</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Corporate Information</w:t>
      </w:r>
    </w:p>
    <w:p>
      <w:pPr>
        <w:spacing w:after="0" w:line="148" w:lineRule="exact"/>
        <w:rPr>
          <w:sz w:val="20"/>
          <w:szCs w:val="20"/>
          <w:color w:val="auto"/>
        </w:rPr>
      </w:pPr>
    </w:p>
    <w:p>
      <w:pPr>
        <w:ind w:left="300" w:right="20"/>
        <w:spacing w:after="0" w:line="238" w:lineRule="auto"/>
        <w:rPr>
          <w:sz w:val="20"/>
          <w:szCs w:val="20"/>
          <w:color w:val="auto"/>
        </w:rPr>
      </w:pPr>
      <w:r>
        <w:rPr>
          <w:rFonts w:ascii="Arial" w:cs="Arial" w:eastAsia="Arial" w:hAnsi="Arial"/>
          <w:sz w:val="18"/>
          <w:szCs w:val="18"/>
          <w:color w:val="auto"/>
        </w:rPr>
        <w:t>We commenced our current operations and converted to a Delaware limited liability company in September 2018. We were originally founded as Metagenomi.co, a Delaware corporation, in September 2016. Prior to the completion of this offering, we intend to engage in a series of transactions, which we refer to collectively as the Reorganization. As a result of the Reorganization, Metagenomi Technologies, LLC will merge with and into its wholly-owned subsidiary, Metagenomi, Inc., a Delaware corporation, with Metagenomi, Inc. continuing as the surviving corporation. In connection with the Reorganization, (i) all of the outstanding common unitholders of Metagenomi Technologies, LLC will receive shares of common stock of Metagenomi, Inc., (ii) all of the outstanding preferred unitholders of Metagenomi Technologies, LLC will receive shares of preferred stock of Metagenomi, Inc. and (iii) all of the outstanding holders of profits interest units in Metagenomi Technologies, LLC will receive shares of common stock and restricted common stock in Metagenomi, Inc. as determined by the applicable provisions of the Metagenomi Technologies, LLC operating agreement in effect immediately prior to the Reorganization. Immediately prior to the completion of this offering, all outstanding shares of preferred stock of Metagenomi, Inc. will be converted into shares of common stock.</w:t>
      </w:r>
    </w:p>
    <w:p>
      <w:pPr>
        <w:spacing w:after="0" w:line="2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816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47" w:lineRule="auto"/>
        <w:rPr>
          <w:sz w:val="20"/>
          <w:szCs w:val="20"/>
          <w:color w:val="auto"/>
        </w:rPr>
      </w:pPr>
      <w:r>
        <w:rPr>
          <w:rFonts w:ascii="Arial" w:cs="Arial" w:eastAsia="Arial" w:hAnsi="Arial"/>
          <w:sz w:val="18"/>
          <w:szCs w:val="18"/>
          <w:color w:val="auto"/>
        </w:rPr>
        <w:t>Metagenomi, Inc. will become the registrant for purposes of this offering, and our consolidated financial statements will be reported from Metagenomi, Inc. See “Reorganization” and “Description of Capital Stock” for additional information, including a description of the terms of our capital stock following the Reorganization and the terms of our amended and restated certificate of incorporation and amended and restated bylaws that will be in effect upon the completion of this offering.</w:t>
      </w:r>
    </w:p>
    <w:p>
      <w:pPr>
        <w:spacing w:after="0" w:line="93" w:lineRule="exact"/>
        <w:rPr>
          <w:sz w:val="20"/>
          <w:szCs w:val="20"/>
          <w:color w:val="auto"/>
        </w:rPr>
      </w:pPr>
    </w:p>
    <w:p>
      <w:pPr>
        <w:ind w:left="300" w:right="420"/>
        <w:spacing w:after="0" w:line="271" w:lineRule="auto"/>
        <w:rPr>
          <w:sz w:val="20"/>
          <w:szCs w:val="20"/>
          <w:color w:val="auto"/>
        </w:rPr>
      </w:pPr>
      <w:r>
        <w:rPr>
          <w:rFonts w:ascii="Arial" w:cs="Arial" w:eastAsia="Arial" w:hAnsi="Arial"/>
          <w:sz w:val="18"/>
          <w:szCs w:val="18"/>
          <w:color w:val="auto"/>
        </w:rPr>
        <w:t>Our principal executive offices are located at 1545 Park Avenue Emeryville, California 94608, and our telephone number is (510) 871-4880.</w:t>
      </w:r>
    </w:p>
    <w:p>
      <w:pPr>
        <w:spacing w:after="0" w:line="86" w:lineRule="exact"/>
        <w:rPr>
          <w:sz w:val="20"/>
          <w:szCs w:val="20"/>
          <w:color w:val="auto"/>
        </w:rPr>
      </w:pPr>
    </w:p>
    <w:p>
      <w:pPr>
        <w:jc w:val="both"/>
        <w:ind w:left="300" w:right="120"/>
        <w:spacing w:after="0" w:line="253" w:lineRule="auto"/>
        <w:rPr>
          <w:sz w:val="20"/>
          <w:szCs w:val="20"/>
          <w:color w:val="auto"/>
        </w:rPr>
      </w:pPr>
      <w:r>
        <w:rPr>
          <w:rFonts w:ascii="Arial" w:cs="Arial" w:eastAsia="Arial" w:hAnsi="Arial"/>
          <w:sz w:val="18"/>
          <w:szCs w:val="18"/>
          <w:color w:val="auto"/>
        </w:rPr>
        <w:t>Our website address is https://www.metagenomi.co. The information contained in or accessible from our website is not incorporated into this prospectus, and you should not consider it part of this prospectus. We have included our website address in this prospectus solely as an inactive textual reference.</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Implications of Being an Emerging Growth Company</w:t>
      </w:r>
    </w:p>
    <w:p>
      <w:pPr>
        <w:spacing w:after="0" w:line="148" w:lineRule="exact"/>
        <w:rPr>
          <w:sz w:val="20"/>
          <w:szCs w:val="20"/>
          <w:color w:val="auto"/>
        </w:rPr>
      </w:pPr>
    </w:p>
    <w:p>
      <w:pPr>
        <w:ind w:left="300" w:right="160"/>
        <w:spacing w:after="0" w:line="25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p>
    <w:p>
      <w:pPr>
        <w:spacing w:after="0" w:line="101" w:lineRule="exact"/>
        <w:rPr>
          <w:sz w:val="20"/>
          <w:szCs w:val="20"/>
          <w:color w:val="auto"/>
        </w:rPr>
      </w:pPr>
    </w:p>
    <w:p>
      <w:pPr>
        <w:ind w:left="480" w:right="120" w:hanging="186"/>
        <w:spacing w:after="0" w:line="253"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101" w:lineRule="exact"/>
        <w:rPr>
          <w:rFonts w:ascii="Arial" w:cs="Arial" w:eastAsia="Arial" w:hAnsi="Arial"/>
          <w:sz w:val="18"/>
          <w:szCs w:val="18"/>
          <w:color w:val="auto"/>
        </w:rPr>
      </w:pPr>
    </w:p>
    <w:p>
      <w:pPr>
        <w:ind w:left="480" w:hanging="186"/>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44" w:lineRule="exact"/>
        <w:rPr>
          <w:rFonts w:ascii="Arial" w:cs="Arial" w:eastAsia="Arial" w:hAnsi="Arial"/>
          <w:sz w:val="18"/>
          <w:szCs w:val="18"/>
          <w:color w:val="auto"/>
        </w:rPr>
      </w:pPr>
    </w:p>
    <w:p>
      <w:pPr>
        <w:ind w:left="480" w:right="320" w:hanging="186"/>
        <w:spacing w:after="0" w:line="271"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being required to hold advisory votes on executive compensation or to obtain stockholder approval of any golden parachute arrangements not previously approved;</w:t>
      </w:r>
    </w:p>
    <w:p>
      <w:pPr>
        <w:spacing w:after="0" w:line="86" w:lineRule="exact"/>
        <w:rPr>
          <w:rFonts w:ascii="Arial" w:cs="Arial" w:eastAsia="Arial" w:hAnsi="Arial"/>
          <w:sz w:val="18"/>
          <w:szCs w:val="18"/>
          <w:color w:val="auto"/>
        </w:rPr>
      </w:pPr>
    </w:p>
    <w:p>
      <w:pPr>
        <w:ind w:left="480" w:right="100" w:hanging="186"/>
        <w:spacing w:after="0" w:line="271"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 and</w:t>
      </w:r>
    </w:p>
    <w:p>
      <w:pPr>
        <w:spacing w:after="0" w:line="86" w:lineRule="exact"/>
        <w:rPr>
          <w:rFonts w:ascii="Arial" w:cs="Arial" w:eastAsia="Arial" w:hAnsi="Arial"/>
          <w:sz w:val="18"/>
          <w:szCs w:val="18"/>
          <w:color w:val="auto"/>
        </w:rPr>
      </w:pPr>
    </w:p>
    <w:p>
      <w:pPr>
        <w:ind w:left="480" w:right="960" w:hanging="186"/>
        <w:spacing w:after="0" w:line="271"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86" w:lineRule="exact"/>
        <w:rPr>
          <w:sz w:val="20"/>
          <w:szCs w:val="20"/>
          <w:color w:val="auto"/>
        </w:rPr>
      </w:pPr>
    </w:p>
    <w:p>
      <w:pPr>
        <w:ind w:left="300"/>
        <w:spacing w:after="0" w:line="238" w:lineRule="auto"/>
        <w:rPr>
          <w:sz w:val="20"/>
          <w:szCs w:val="20"/>
          <w:color w:val="auto"/>
        </w:rPr>
      </w:pPr>
      <w:r>
        <w:rPr>
          <w:rFonts w:ascii="Arial" w:cs="Arial" w:eastAsia="Arial" w:hAnsi="Arial"/>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Securities and Exchange Commission (the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w:t>
      </w:r>
    </w:p>
    <w:p>
      <w:pPr>
        <w:spacing w:after="0" w:line="29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5" w:right="6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7499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7499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47" w:lineRule="auto"/>
        <w:rPr>
          <w:sz w:val="20"/>
          <w:szCs w:val="20"/>
          <w:color w:val="auto"/>
        </w:rPr>
      </w:pPr>
      <w:r>
        <w:rPr>
          <w:rFonts w:ascii="Arial" w:cs="Arial" w:eastAsia="Arial" w:hAnsi="Arial"/>
          <w:sz w:val="18"/>
          <w:szCs w:val="18"/>
          <w:color w:val="auto"/>
        </w:rPr>
        <w:t>applicable to other public companies that are not emerging growth companies. As a result of this election, our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p>
    <w:p>
      <w:pPr>
        <w:spacing w:after="0" w:line="28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00"/>
          </w:cols>
          <w:pgMar w:left="320" w:top="455" w:right="7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790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3790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THE OFFERING</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2900" w:type="dxa"/>
            <w:vAlign w:val="bottom"/>
          </w:tcPr>
          <w:p>
            <w:pPr>
              <w:spacing w:after="0"/>
              <w:rPr>
                <w:sz w:val="20"/>
                <w:szCs w:val="20"/>
                <w:color w:val="auto"/>
              </w:rPr>
            </w:pPr>
            <w:r>
              <w:rPr>
                <w:rFonts w:ascii="Arial" w:cs="Arial" w:eastAsia="Arial" w:hAnsi="Arial"/>
                <w:sz w:val="18"/>
                <w:szCs w:val="18"/>
                <w:color w:val="auto"/>
              </w:rPr>
              <w:t>Shares of common stock offered by</w:t>
            </w:r>
          </w:p>
        </w:tc>
        <w:tc>
          <w:tcPr>
            <w:tcW w:w="1780" w:type="dxa"/>
            <w:vAlign w:val="bottom"/>
          </w:tcPr>
          <w:p>
            <w:pPr>
              <w:ind w:left="860"/>
              <w:spacing w:after="0"/>
              <w:rPr>
                <w:sz w:val="20"/>
                <w:szCs w:val="20"/>
                <w:color w:val="auto"/>
              </w:rPr>
            </w:pPr>
            <w:r>
              <w:rPr>
                <w:rFonts w:ascii="Arial" w:cs="Arial" w:eastAsia="Arial" w:hAnsi="Arial"/>
                <w:sz w:val="18"/>
                <w:szCs w:val="18"/>
                <w:color w:val="auto"/>
              </w:rPr>
              <w:t>shares.</w:t>
            </w:r>
          </w:p>
        </w:tc>
        <w:tc>
          <w:tcPr>
            <w:tcW w:w="6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39"/>
        </w:trPr>
        <w:tc>
          <w:tcPr>
            <w:tcW w:w="2900" w:type="dxa"/>
            <w:vAlign w:val="bottom"/>
          </w:tcPr>
          <w:p>
            <w:pPr>
              <w:spacing w:after="0"/>
              <w:rPr>
                <w:sz w:val="20"/>
                <w:szCs w:val="20"/>
                <w:color w:val="auto"/>
              </w:rPr>
            </w:pPr>
            <w:r>
              <w:rPr>
                <w:rFonts w:ascii="Arial" w:cs="Arial" w:eastAsia="Arial" w:hAnsi="Arial"/>
                <w:sz w:val="18"/>
                <w:szCs w:val="18"/>
                <w:color w:val="auto"/>
              </w:rPr>
              <w:t>us</w:t>
            </w:r>
          </w:p>
        </w:tc>
        <w:tc>
          <w:tcPr>
            <w:tcW w:w="1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23"/>
        </w:trPr>
        <w:tc>
          <w:tcPr>
            <w:tcW w:w="2900" w:type="dxa"/>
            <w:vAlign w:val="bottom"/>
          </w:tcPr>
          <w:p>
            <w:pPr>
              <w:spacing w:after="0"/>
              <w:rPr>
                <w:sz w:val="20"/>
                <w:szCs w:val="20"/>
                <w:color w:val="auto"/>
              </w:rPr>
            </w:pPr>
            <w:r>
              <w:rPr>
                <w:rFonts w:ascii="Arial" w:cs="Arial" w:eastAsia="Arial" w:hAnsi="Arial"/>
                <w:sz w:val="18"/>
                <w:szCs w:val="18"/>
                <w:color w:val="auto"/>
              </w:rPr>
              <w:t>Shares of our common stock to be</w:t>
            </w:r>
          </w:p>
        </w:tc>
        <w:tc>
          <w:tcPr>
            <w:tcW w:w="1780" w:type="dxa"/>
            <w:vAlign w:val="bottom"/>
          </w:tcPr>
          <w:p>
            <w:pPr>
              <w:ind w:left="860"/>
              <w:spacing w:after="0"/>
              <w:rPr>
                <w:sz w:val="20"/>
                <w:szCs w:val="20"/>
                <w:color w:val="auto"/>
              </w:rPr>
            </w:pPr>
            <w:r>
              <w:rPr>
                <w:rFonts w:ascii="Arial" w:cs="Arial" w:eastAsia="Arial" w:hAnsi="Arial"/>
                <w:sz w:val="18"/>
                <w:szCs w:val="18"/>
                <w:color w:val="auto"/>
              </w:rPr>
              <w:t>shares (or</w:t>
            </w:r>
          </w:p>
        </w:tc>
        <w:tc>
          <w:tcPr>
            <w:tcW w:w="680" w:type="dxa"/>
            <w:vAlign w:val="bottom"/>
          </w:tcPr>
          <w:p>
            <w:pPr>
              <w:spacing w:after="0"/>
              <w:rPr>
                <w:sz w:val="24"/>
                <w:szCs w:val="24"/>
                <w:color w:val="auto"/>
              </w:rPr>
            </w:pPr>
          </w:p>
        </w:tc>
        <w:tc>
          <w:tcPr>
            <w:tcW w:w="5260" w:type="dxa"/>
            <w:vAlign w:val="bottom"/>
            <w:gridSpan w:val="3"/>
          </w:tcPr>
          <w:p>
            <w:pPr>
              <w:ind w:left="60"/>
              <w:spacing w:after="0"/>
              <w:rPr>
                <w:sz w:val="20"/>
                <w:szCs w:val="20"/>
                <w:color w:val="auto"/>
              </w:rPr>
            </w:pPr>
            <w:r>
              <w:rPr>
                <w:rFonts w:ascii="Arial" w:cs="Arial" w:eastAsia="Arial" w:hAnsi="Arial"/>
                <w:sz w:val="18"/>
                <w:szCs w:val="18"/>
                <w:color w:val="auto"/>
              </w:rPr>
              <w:t>shares if the underwriters exercise their option to purchase</w:t>
            </w:r>
          </w:p>
        </w:tc>
      </w:tr>
      <w:tr>
        <w:trPr>
          <w:trHeight w:val="239"/>
        </w:trPr>
        <w:tc>
          <w:tcPr>
            <w:tcW w:w="2900" w:type="dxa"/>
            <w:vAlign w:val="bottom"/>
          </w:tcPr>
          <w:p>
            <w:pPr>
              <w:spacing w:after="0"/>
              <w:rPr>
                <w:sz w:val="20"/>
                <w:szCs w:val="20"/>
                <w:color w:val="auto"/>
              </w:rPr>
            </w:pPr>
            <w:r>
              <w:rPr>
                <w:rFonts w:ascii="Arial" w:cs="Arial" w:eastAsia="Arial" w:hAnsi="Arial"/>
                <w:sz w:val="18"/>
                <w:szCs w:val="18"/>
                <w:color w:val="auto"/>
              </w:rPr>
              <w:t>outstanding after this offering</w:t>
            </w:r>
          </w:p>
        </w:tc>
        <w:tc>
          <w:tcPr>
            <w:tcW w:w="2460" w:type="dxa"/>
            <w:vAlign w:val="bottom"/>
            <w:gridSpan w:val="2"/>
          </w:tcPr>
          <w:p>
            <w:pPr>
              <w:ind w:left="60"/>
              <w:spacing w:after="0"/>
              <w:rPr>
                <w:sz w:val="20"/>
                <w:szCs w:val="20"/>
                <w:color w:val="auto"/>
              </w:rPr>
            </w:pPr>
            <w:r>
              <w:rPr>
                <w:rFonts w:ascii="Arial" w:cs="Arial" w:eastAsia="Arial" w:hAnsi="Arial"/>
                <w:sz w:val="18"/>
                <w:szCs w:val="18"/>
                <w:color w:val="auto"/>
              </w:rPr>
              <w:t>additional shares in full).</w:t>
            </w:r>
          </w:p>
        </w:tc>
        <w:tc>
          <w:tcPr>
            <w:tcW w:w="2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23"/>
        </w:trPr>
        <w:tc>
          <w:tcPr>
            <w:tcW w:w="2900" w:type="dxa"/>
            <w:vAlign w:val="bottom"/>
          </w:tcPr>
          <w:p>
            <w:pPr>
              <w:spacing w:after="0"/>
              <w:rPr>
                <w:sz w:val="20"/>
                <w:szCs w:val="20"/>
                <w:color w:val="auto"/>
              </w:rPr>
            </w:pPr>
            <w:r>
              <w:rPr>
                <w:rFonts w:ascii="Arial" w:cs="Arial" w:eastAsia="Arial" w:hAnsi="Arial"/>
                <w:sz w:val="18"/>
                <w:szCs w:val="18"/>
                <w:color w:val="auto"/>
              </w:rPr>
              <w:t>Underwriters’ option to purchase</w:t>
            </w:r>
          </w:p>
        </w:tc>
        <w:tc>
          <w:tcPr>
            <w:tcW w:w="5860" w:type="dxa"/>
            <w:vAlign w:val="bottom"/>
            <w:gridSpan w:val="4"/>
          </w:tcPr>
          <w:p>
            <w:pPr>
              <w:ind w:left="60"/>
              <w:spacing w:after="0"/>
              <w:rPr>
                <w:sz w:val="20"/>
                <w:szCs w:val="20"/>
                <w:color w:val="auto"/>
              </w:rPr>
            </w:pPr>
            <w:r>
              <w:rPr>
                <w:rFonts w:ascii="Arial" w:cs="Arial" w:eastAsia="Arial" w:hAnsi="Arial"/>
                <w:sz w:val="18"/>
                <w:szCs w:val="18"/>
                <w:color w:val="auto"/>
              </w:rPr>
              <w:t>We have granted the underwriters a 30-day option to purchase up to</w:t>
            </w:r>
          </w:p>
        </w:tc>
        <w:tc>
          <w:tcPr>
            <w:tcW w:w="1860" w:type="dxa"/>
            <w:vAlign w:val="bottom"/>
          </w:tcPr>
          <w:p>
            <w:pPr>
              <w:ind w:left="500"/>
              <w:spacing w:after="0"/>
              <w:rPr>
                <w:sz w:val="20"/>
                <w:szCs w:val="20"/>
                <w:color w:val="auto"/>
              </w:rPr>
            </w:pPr>
            <w:r>
              <w:rPr>
                <w:rFonts w:ascii="Arial" w:cs="Arial" w:eastAsia="Arial" w:hAnsi="Arial"/>
                <w:sz w:val="18"/>
                <w:szCs w:val="18"/>
                <w:color w:val="auto"/>
                <w:w w:val="98"/>
              </w:rPr>
              <w:t>additional shares</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additional shares</w:t>
            </w:r>
          </w:p>
        </w:tc>
        <w:tc>
          <w:tcPr>
            <w:tcW w:w="7720" w:type="dxa"/>
            <w:vAlign w:val="bottom"/>
            <w:gridSpan w:val="5"/>
          </w:tcPr>
          <w:p>
            <w:pPr>
              <w:ind w:left="60"/>
              <w:spacing w:after="0" w:line="202" w:lineRule="exact"/>
              <w:rPr>
                <w:sz w:val="20"/>
                <w:szCs w:val="20"/>
                <w:color w:val="auto"/>
              </w:rPr>
            </w:pPr>
            <w:r>
              <w:rPr>
                <w:rFonts w:ascii="Arial" w:cs="Arial" w:eastAsia="Arial" w:hAnsi="Arial"/>
                <w:sz w:val="18"/>
                <w:szCs w:val="18"/>
                <w:color w:val="auto"/>
              </w:rPr>
              <w:t>of our common stock at the initial public offering price, less underwriting discounts and</w:t>
            </w:r>
          </w:p>
        </w:tc>
      </w:tr>
      <w:tr>
        <w:trPr>
          <w:trHeight w:val="239"/>
        </w:trPr>
        <w:tc>
          <w:tcPr>
            <w:tcW w:w="2900" w:type="dxa"/>
            <w:vAlign w:val="bottom"/>
          </w:tcPr>
          <w:p>
            <w:pPr>
              <w:spacing w:after="0"/>
              <w:rPr>
                <w:sz w:val="20"/>
                <w:szCs w:val="20"/>
                <w:color w:val="auto"/>
              </w:rPr>
            </w:pPr>
          </w:p>
        </w:tc>
        <w:tc>
          <w:tcPr>
            <w:tcW w:w="5860" w:type="dxa"/>
            <w:vAlign w:val="bottom"/>
            <w:gridSpan w:val="4"/>
          </w:tcPr>
          <w:p>
            <w:pPr>
              <w:ind w:left="60"/>
              <w:spacing w:after="0"/>
              <w:rPr>
                <w:sz w:val="20"/>
                <w:szCs w:val="20"/>
                <w:color w:val="auto"/>
              </w:rPr>
            </w:pPr>
            <w:r>
              <w:rPr>
                <w:rFonts w:ascii="Arial" w:cs="Arial" w:eastAsia="Arial" w:hAnsi="Arial"/>
                <w:sz w:val="18"/>
                <w:szCs w:val="18"/>
                <w:color w:val="auto"/>
              </w:rPr>
              <w:t>commissions on the same terms as set forth in this prospectus.</w:t>
            </w:r>
          </w:p>
        </w:tc>
        <w:tc>
          <w:tcPr>
            <w:tcW w:w="1860" w:type="dxa"/>
            <w:vAlign w:val="bottom"/>
          </w:tcPr>
          <w:p>
            <w:pPr>
              <w:spacing w:after="0"/>
              <w:rPr>
                <w:sz w:val="20"/>
                <w:szCs w:val="20"/>
                <w:color w:val="auto"/>
              </w:rPr>
            </w:pPr>
          </w:p>
        </w:tc>
      </w:tr>
      <w:tr>
        <w:trPr>
          <w:trHeight w:val="409"/>
        </w:trPr>
        <w:tc>
          <w:tcPr>
            <w:tcW w:w="2900" w:type="dxa"/>
            <w:vAlign w:val="bottom"/>
          </w:tcPr>
          <w:p>
            <w:pPr>
              <w:spacing w:after="0"/>
              <w:rPr>
                <w:sz w:val="20"/>
                <w:szCs w:val="20"/>
                <w:color w:val="auto"/>
              </w:rPr>
            </w:pPr>
            <w:r>
              <w:rPr>
                <w:rFonts w:ascii="Arial" w:cs="Arial" w:eastAsia="Arial" w:hAnsi="Arial"/>
                <w:sz w:val="18"/>
                <w:szCs w:val="18"/>
                <w:color w:val="auto"/>
              </w:rPr>
              <w:t>Use of proceeds</w:t>
            </w:r>
          </w:p>
        </w:tc>
        <w:tc>
          <w:tcPr>
            <w:tcW w:w="4520" w:type="dxa"/>
            <w:vAlign w:val="bottom"/>
            <w:gridSpan w:val="3"/>
          </w:tcPr>
          <w:p>
            <w:pPr>
              <w:ind w:left="60"/>
              <w:spacing w:after="0"/>
              <w:rPr>
                <w:sz w:val="20"/>
                <w:szCs w:val="20"/>
                <w:color w:val="auto"/>
              </w:rPr>
            </w:pPr>
            <w:r>
              <w:rPr>
                <w:rFonts w:ascii="Arial" w:cs="Arial" w:eastAsia="Arial" w:hAnsi="Arial"/>
                <w:sz w:val="18"/>
                <w:szCs w:val="18"/>
                <w:color w:val="auto"/>
              </w:rPr>
              <w:t>We estimate that the net proceeds to us from the sale</w:t>
            </w:r>
          </w:p>
        </w:tc>
        <w:tc>
          <w:tcPr>
            <w:tcW w:w="1340" w:type="dxa"/>
            <w:vAlign w:val="bottom"/>
          </w:tcPr>
          <w:p>
            <w:pPr>
              <w:ind w:left="860"/>
              <w:spacing w:after="0"/>
              <w:rPr>
                <w:sz w:val="20"/>
                <w:szCs w:val="20"/>
                <w:color w:val="auto"/>
              </w:rPr>
            </w:pPr>
            <w:r>
              <w:rPr>
                <w:rFonts w:ascii="Arial" w:cs="Arial" w:eastAsia="Arial" w:hAnsi="Arial"/>
                <w:sz w:val="18"/>
                <w:szCs w:val="18"/>
                <w:color w:val="auto"/>
              </w:rPr>
              <w:t>of</w:t>
            </w:r>
          </w:p>
        </w:tc>
        <w:tc>
          <w:tcPr>
            <w:tcW w:w="1860" w:type="dxa"/>
            <w:vAlign w:val="bottom"/>
          </w:tcPr>
          <w:p>
            <w:pPr>
              <w:ind w:left="520"/>
              <w:spacing w:after="0"/>
              <w:rPr>
                <w:sz w:val="20"/>
                <w:szCs w:val="20"/>
                <w:color w:val="auto"/>
              </w:rPr>
            </w:pPr>
            <w:r>
              <w:rPr>
                <w:rFonts w:ascii="Arial" w:cs="Arial" w:eastAsia="Arial" w:hAnsi="Arial"/>
                <w:sz w:val="18"/>
                <w:szCs w:val="18"/>
                <w:color w:val="auto"/>
              </w:rPr>
              <w:t>shares of our</w:t>
            </w:r>
          </w:p>
        </w:tc>
      </w:tr>
      <w:tr>
        <w:trPr>
          <w:trHeight w:val="203"/>
        </w:trPr>
        <w:tc>
          <w:tcPr>
            <w:tcW w:w="2900" w:type="dxa"/>
            <w:vAlign w:val="bottom"/>
          </w:tcPr>
          <w:p>
            <w:pPr>
              <w:spacing w:after="0"/>
              <w:rPr>
                <w:sz w:val="17"/>
                <w:szCs w:val="17"/>
                <w:color w:val="auto"/>
              </w:rPr>
            </w:pPr>
          </w:p>
        </w:tc>
        <w:tc>
          <w:tcPr>
            <w:tcW w:w="452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common stock in this offering will be approximately $</w:t>
            </w:r>
          </w:p>
        </w:tc>
        <w:tc>
          <w:tcPr>
            <w:tcW w:w="1340" w:type="dxa"/>
            <w:vAlign w:val="bottom"/>
          </w:tcPr>
          <w:p>
            <w:pPr>
              <w:ind w:left="200"/>
              <w:spacing w:after="0" w:line="202" w:lineRule="exact"/>
              <w:rPr>
                <w:sz w:val="20"/>
                <w:szCs w:val="20"/>
                <w:color w:val="auto"/>
              </w:rPr>
            </w:pPr>
            <w:r>
              <w:rPr>
                <w:rFonts w:ascii="Arial" w:cs="Arial" w:eastAsia="Arial" w:hAnsi="Arial"/>
                <w:sz w:val="18"/>
                <w:szCs w:val="18"/>
                <w:color w:val="auto"/>
              </w:rPr>
              <w:t>million, or $</w:t>
            </w:r>
          </w:p>
        </w:tc>
        <w:tc>
          <w:tcPr>
            <w:tcW w:w="1860" w:type="dxa"/>
            <w:vAlign w:val="bottom"/>
          </w:tcPr>
          <w:p>
            <w:pPr>
              <w:ind w:left="220"/>
              <w:spacing w:after="0" w:line="202" w:lineRule="exact"/>
              <w:rPr>
                <w:sz w:val="20"/>
                <w:szCs w:val="20"/>
                <w:color w:val="auto"/>
              </w:rPr>
            </w:pPr>
            <w:r>
              <w:rPr>
                <w:rFonts w:ascii="Arial" w:cs="Arial" w:eastAsia="Arial" w:hAnsi="Arial"/>
                <w:sz w:val="18"/>
                <w:szCs w:val="18"/>
                <w:color w:val="auto"/>
              </w:rPr>
              <w:t>million if the</w:t>
            </w:r>
          </w:p>
        </w:tc>
      </w:tr>
      <w:tr>
        <w:trPr>
          <w:trHeight w:val="203"/>
        </w:trPr>
        <w:tc>
          <w:tcPr>
            <w:tcW w:w="2900" w:type="dxa"/>
            <w:vAlign w:val="bottom"/>
          </w:tcPr>
          <w:p>
            <w:pPr>
              <w:spacing w:after="0"/>
              <w:rPr>
                <w:sz w:val="17"/>
                <w:szCs w:val="17"/>
                <w:color w:val="auto"/>
              </w:rPr>
            </w:pPr>
          </w:p>
        </w:tc>
        <w:tc>
          <w:tcPr>
            <w:tcW w:w="7720" w:type="dxa"/>
            <w:vAlign w:val="bottom"/>
            <w:gridSpan w:val="5"/>
          </w:tcPr>
          <w:p>
            <w:pPr>
              <w:ind w:left="60"/>
              <w:spacing w:after="0" w:line="202" w:lineRule="exact"/>
              <w:rPr>
                <w:sz w:val="20"/>
                <w:szCs w:val="20"/>
                <w:color w:val="auto"/>
              </w:rPr>
            </w:pPr>
            <w:r>
              <w:rPr>
                <w:rFonts w:ascii="Arial" w:cs="Arial" w:eastAsia="Arial" w:hAnsi="Arial"/>
                <w:sz w:val="18"/>
                <w:szCs w:val="18"/>
                <w:color w:val="auto"/>
              </w:rPr>
              <w:t>underwriters exercise their option to purchase additional shares in full, assuming an initial public</w:t>
            </w:r>
          </w:p>
        </w:tc>
      </w:tr>
      <w:tr>
        <w:trPr>
          <w:trHeight w:val="203"/>
        </w:trPr>
        <w:tc>
          <w:tcPr>
            <w:tcW w:w="2900" w:type="dxa"/>
            <w:vAlign w:val="bottom"/>
          </w:tcPr>
          <w:p>
            <w:pPr>
              <w:spacing w:after="0"/>
              <w:rPr>
                <w:sz w:val="17"/>
                <w:szCs w:val="17"/>
                <w:color w:val="auto"/>
              </w:rPr>
            </w:pPr>
          </w:p>
        </w:tc>
        <w:tc>
          <w:tcPr>
            <w:tcW w:w="1780" w:type="dxa"/>
            <w:vAlign w:val="bottom"/>
          </w:tcPr>
          <w:p>
            <w:pPr>
              <w:ind w:left="60"/>
              <w:spacing w:after="0" w:line="202" w:lineRule="exact"/>
              <w:rPr>
                <w:sz w:val="20"/>
                <w:szCs w:val="20"/>
                <w:color w:val="auto"/>
              </w:rPr>
            </w:pPr>
            <w:r>
              <w:rPr>
                <w:rFonts w:ascii="Arial" w:cs="Arial" w:eastAsia="Arial" w:hAnsi="Arial"/>
                <w:sz w:val="18"/>
                <w:szCs w:val="18"/>
                <w:color w:val="auto"/>
              </w:rPr>
              <w:t>offering price of $</w:t>
            </w:r>
          </w:p>
        </w:tc>
        <w:tc>
          <w:tcPr>
            <w:tcW w:w="594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per share, the estimated midpoint of the price range set forth on the</w:t>
            </w:r>
          </w:p>
        </w:tc>
      </w:tr>
      <w:tr>
        <w:trPr>
          <w:trHeight w:val="203"/>
        </w:trPr>
        <w:tc>
          <w:tcPr>
            <w:tcW w:w="2900" w:type="dxa"/>
            <w:vAlign w:val="bottom"/>
          </w:tcPr>
          <w:p>
            <w:pPr>
              <w:spacing w:after="0"/>
              <w:rPr>
                <w:sz w:val="17"/>
                <w:szCs w:val="17"/>
                <w:color w:val="auto"/>
              </w:rPr>
            </w:pPr>
          </w:p>
        </w:tc>
        <w:tc>
          <w:tcPr>
            <w:tcW w:w="7720" w:type="dxa"/>
            <w:vAlign w:val="bottom"/>
            <w:gridSpan w:val="5"/>
          </w:tcPr>
          <w:p>
            <w:pPr>
              <w:ind w:left="60"/>
              <w:spacing w:after="0" w:line="202" w:lineRule="exact"/>
              <w:rPr>
                <w:sz w:val="20"/>
                <w:szCs w:val="20"/>
                <w:color w:val="auto"/>
              </w:rPr>
            </w:pPr>
            <w:r>
              <w:rPr>
                <w:rFonts w:ascii="Arial" w:cs="Arial" w:eastAsia="Arial" w:hAnsi="Arial"/>
                <w:sz w:val="18"/>
                <w:szCs w:val="18"/>
                <w:color w:val="auto"/>
              </w:rPr>
              <w:t>cover page of this prospectus, and after deducting estimated underwriting discounts and</w:t>
            </w:r>
          </w:p>
        </w:tc>
      </w:tr>
      <w:tr>
        <w:trPr>
          <w:trHeight w:val="203"/>
        </w:trPr>
        <w:tc>
          <w:tcPr>
            <w:tcW w:w="2900" w:type="dxa"/>
            <w:vAlign w:val="bottom"/>
          </w:tcPr>
          <w:p>
            <w:pPr>
              <w:spacing w:after="0"/>
              <w:rPr>
                <w:sz w:val="17"/>
                <w:szCs w:val="17"/>
                <w:color w:val="auto"/>
              </w:rPr>
            </w:pPr>
          </w:p>
        </w:tc>
        <w:tc>
          <w:tcPr>
            <w:tcW w:w="7720" w:type="dxa"/>
            <w:vAlign w:val="bottom"/>
            <w:gridSpan w:val="5"/>
          </w:tcPr>
          <w:p>
            <w:pPr>
              <w:ind w:left="60"/>
              <w:spacing w:after="0" w:line="202" w:lineRule="exact"/>
              <w:rPr>
                <w:sz w:val="20"/>
                <w:szCs w:val="20"/>
                <w:color w:val="auto"/>
              </w:rPr>
            </w:pPr>
            <w:r>
              <w:rPr>
                <w:rFonts w:ascii="Arial" w:cs="Arial" w:eastAsia="Arial" w:hAnsi="Arial"/>
                <w:sz w:val="18"/>
                <w:szCs w:val="18"/>
                <w:color w:val="auto"/>
              </w:rPr>
              <w:t>commissions and estimated offering expenses payable by us. We intend to use the net</w:t>
            </w:r>
          </w:p>
        </w:tc>
      </w:tr>
      <w:tr>
        <w:trPr>
          <w:trHeight w:val="203"/>
        </w:trPr>
        <w:tc>
          <w:tcPr>
            <w:tcW w:w="2900" w:type="dxa"/>
            <w:vAlign w:val="bottom"/>
          </w:tcPr>
          <w:p>
            <w:pPr>
              <w:spacing w:after="0"/>
              <w:rPr>
                <w:sz w:val="17"/>
                <w:szCs w:val="17"/>
                <w:color w:val="auto"/>
              </w:rPr>
            </w:pPr>
          </w:p>
        </w:tc>
        <w:tc>
          <w:tcPr>
            <w:tcW w:w="7720" w:type="dxa"/>
            <w:vAlign w:val="bottom"/>
            <w:gridSpan w:val="5"/>
          </w:tcPr>
          <w:p>
            <w:pPr>
              <w:ind w:left="60"/>
              <w:spacing w:after="0" w:line="202" w:lineRule="exact"/>
              <w:rPr>
                <w:sz w:val="20"/>
                <w:szCs w:val="20"/>
                <w:color w:val="auto"/>
              </w:rPr>
            </w:pPr>
            <w:r>
              <w:rPr>
                <w:rFonts w:ascii="Arial" w:cs="Arial" w:eastAsia="Arial" w:hAnsi="Arial"/>
                <w:sz w:val="18"/>
                <w:szCs w:val="18"/>
                <w:color w:val="auto"/>
              </w:rPr>
              <w:t>proceeds of this offering, together with our existing cash and cash equivalents and available-for-</w:t>
            </w:r>
          </w:p>
        </w:tc>
      </w:tr>
      <w:tr>
        <w:trPr>
          <w:trHeight w:val="203"/>
        </w:trPr>
        <w:tc>
          <w:tcPr>
            <w:tcW w:w="2900" w:type="dxa"/>
            <w:vAlign w:val="bottom"/>
          </w:tcPr>
          <w:p>
            <w:pPr>
              <w:spacing w:after="0"/>
              <w:rPr>
                <w:sz w:val="17"/>
                <w:szCs w:val="17"/>
                <w:color w:val="auto"/>
              </w:rPr>
            </w:pPr>
          </w:p>
        </w:tc>
        <w:tc>
          <w:tcPr>
            <w:tcW w:w="246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sale marketable securities, to</w:t>
            </w:r>
          </w:p>
        </w:tc>
        <w:tc>
          <w:tcPr>
            <w:tcW w:w="5260" w:type="dxa"/>
            <w:vAlign w:val="bottom"/>
            <w:gridSpan w:val="3"/>
          </w:tcPr>
          <w:p>
            <w:pPr>
              <w:ind w:left="980"/>
              <w:spacing w:after="0" w:line="202" w:lineRule="exact"/>
              <w:rPr>
                <w:sz w:val="20"/>
                <w:szCs w:val="20"/>
                <w:color w:val="auto"/>
              </w:rPr>
            </w:pPr>
            <w:r>
              <w:rPr>
                <w:rFonts w:ascii="Arial" w:cs="Arial" w:eastAsia="Arial" w:hAnsi="Arial"/>
                <w:sz w:val="18"/>
                <w:szCs w:val="18"/>
                <w:color w:val="auto"/>
              </w:rPr>
              <w:t>and for general corporate purposes. See “Use of</w:t>
            </w:r>
          </w:p>
        </w:tc>
      </w:tr>
      <w:tr>
        <w:trPr>
          <w:trHeight w:val="239"/>
        </w:trPr>
        <w:tc>
          <w:tcPr>
            <w:tcW w:w="2900" w:type="dxa"/>
            <w:vAlign w:val="bottom"/>
          </w:tcPr>
          <w:p>
            <w:pPr>
              <w:spacing w:after="0"/>
              <w:rPr>
                <w:sz w:val="20"/>
                <w:szCs w:val="20"/>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Proceeds.”</w:t>
            </w:r>
          </w:p>
        </w:tc>
        <w:tc>
          <w:tcPr>
            <w:tcW w:w="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09"/>
        </w:trPr>
        <w:tc>
          <w:tcPr>
            <w:tcW w:w="2900" w:type="dxa"/>
            <w:vAlign w:val="bottom"/>
          </w:tcPr>
          <w:p>
            <w:pPr>
              <w:spacing w:after="0"/>
              <w:rPr>
                <w:sz w:val="20"/>
                <w:szCs w:val="20"/>
                <w:color w:val="auto"/>
              </w:rPr>
            </w:pPr>
            <w:r>
              <w:rPr>
                <w:rFonts w:ascii="Arial" w:cs="Arial" w:eastAsia="Arial" w:hAnsi="Arial"/>
                <w:sz w:val="18"/>
                <w:szCs w:val="18"/>
                <w:color w:val="auto"/>
              </w:rPr>
              <w:t>Proposed Nasdaq Global Select</w:t>
            </w:r>
          </w:p>
        </w:tc>
        <w:tc>
          <w:tcPr>
            <w:tcW w:w="1780" w:type="dxa"/>
            <w:vAlign w:val="bottom"/>
          </w:tcPr>
          <w:p>
            <w:pPr>
              <w:ind w:left="60"/>
              <w:spacing w:after="0"/>
              <w:rPr>
                <w:sz w:val="20"/>
                <w:szCs w:val="20"/>
                <w:color w:val="auto"/>
              </w:rPr>
            </w:pPr>
            <w:r>
              <w:rPr>
                <w:rFonts w:ascii="Arial" w:cs="Arial" w:eastAsia="Arial" w:hAnsi="Arial"/>
                <w:sz w:val="18"/>
                <w:szCs w:val="18"/>
                <w:color w:val="auto"/>
              </w:rPr>
              <w:t>“MGX”</w:t>
            </w:r>
          </w:p>
        </w:tc>
        <w:tc>
          <w:tcPr>
            <w:tcW w:w="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39"/>
        </w:trPr>
        <w:tc>
          <w:tcPr>
            <w:tcW w:w="2900" w:type="dxa"/>
            <w:vAlign w:val="bottom"/>
          </w:tcPr>
          <w:p>
            <w:pPr>
              <w:spacing w:after="0"/>
              <w:rPr>
                <w:sz w:val="20"/>
                <w:szCs w:val="20"/>
                <w:color w:val="auto"/>
              </w:rPr>
            </w:pPr>
            <w:r>
              <w:rPr>
                <w:rFonts w:ascii="Arial" w:cs="Arial" w:eastAsia="Arial" w:hAnsi="Arial"/>
                <w:sz w:val="18"/>
                <w:szCs w:val="18"/>
                <w:color w:val="auto"/>
              </w:rPr>
              <w:t>Market symbol</w:t>
            </w:r>
          </w:p>
        </w:tc>
        <w:tc>
          <w:tcPr>
            <w:tcW w:w="1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23"/>
        </w:trPr>
        <w:tc>
          <w:tcPr>
            <w:tcW w:w="2900" w:type="dxa"/>
            <w:vAlign w:val="bottom"/>
          </w:tcPr>
          <w:p>
            <w:pPr>
              <w:spacing w:after="0"/>
              <w:rPr>
                <w:sz w:val="20"/>
                <w:szCs w:val="20"/>
                <w:color w:val="auto"/>
              </w:rPr>
            </w:pPr>
            <w:r>
              <w:rPr>
                <w:rFonts w:ascii="Arial" w:cs="Arial" w:eastAsia="Arial" w:hAnsi="Arial"/>
                <w:sz w:val="18"/>
                <w:szCs w:val="18"/>
                <w:color w:val="auto"/>
              </w:rPr>
              <w:t>Risk factors</w:t>
            </w:r>
          </w:p>
        </w:tc>
        <w:tc>
          <w:tcPr>
            <w:tcW w:w="7720" w:type="dxa"/>
            <w:vAlign w:val="bottom"/>
            <w:gridSpan w:val="5"/>
          </w:tcPr>
          <w:p>
            <w:pPr>
              <w:ind w:left="60"/>
              <w:spacing w:after="0"/>
              <w:rPr>
                <w:sz w:val="20"/>
                <w:szCs w:val="20"/>
                <w:color w:val="auto"/>
              </w:rPr>
            </w:pPr>
            <w:r>
              <w:rPr>
                <w:rFonts w:ascii="Arial" w:cs="Arial" w:eastAsia="Arial" w:hAnsi="Arial"/>
                <w:sz w:val="18"/>
                <w:szCs w:val="18"/>
                <w:color w:val="auto"/>
              </w:rPr>
              <w:t>Investment in our common stock involves substantial risks. You should read this prospectus</w:t>
            </w:r>
          </w:p>
        </w:tc>
      </w:tr>
      <w:tr>
        <w:trPr>
          <w:trHeight w:val="203"/>
        </w:trPr>
        <w:tc>
          <w:tcPr>
            <w:tcW w:w="2900" w:type="dxa"/>
            <w:vAlign w:val="bottom"/>
          </w:tcPr>
          <w:p>
            <w:pPr>
              <w:spacing w:after="0"/>
              <w:rPr>
                <w:sz w:val="17"/>
                <w:szCs w:val="17"/>
                <w:color w:val="auto"/>
              </w:rPr>
            </w:pPr>
          </w:p>
        </w:tc>
        <w:tc>
          <w:tcPr>
            <w:tcW w:w="7720" w:type="dxa"/>
            <w:vAlign w:val="bottom"/>
            <w:gridSpan w:val="5"/>
          </w:tcPr>
          <w:p>
            <w:pPr>
              <w:ind w:left="60"/>
              <w:spacing w:after="0" w:line="202" w:lineRule="exact"/>
              <w:rPr>
                <w:sz w:val="20"/>
                <w:szCs w:val="20"/>
                <w:color w:val="auto"/>
              </w:rPr>
            </w:pPr>
            <w:r>
              <w:rPr>
                <w:rFonts w:ascii="Arial" w:cs="Arial" w:eastAsia="Arial" w:hAnsi="Arial"/>
                <w:sz w:val="18"/>
                <w:szCs w:val="18"/>
                <w:color w:val="auto"/>
              </w:rPr>
              <w:t>carefully, including the section entitled “Risk Factors” and the consolidated financial statements</w:t>
            </w:r>
          </w:p>
        </w:tc>
      </w:tr>
      <w:tr>
        <w:trPr>
          <w:trHeight w:val="203"/>
        </w:trPr>
        <w:tc>
          <w:tcPr>
            <w:tcW w:w="2900" w:type="dxa"/>
            <w:vAlign w:val="bottom"/>
          </w:tcPr>
          <w:p>
            <w:pPr>
              <w:spacing w:after="0"/>
              <w:rPr>
                <w:sz w:val="17"/>
                <w:szCs w:val="17"/>
                <w:color w:val="auto"/>
              </w:rPr>
            </w:pPr>
          </w:p>
        </w:tc>
        <w:tc>
          <w:tcPr>
            <w:tcW w:w="7720" w:type="dxa"/>
            <w:vAlign w:val="bottom"/>
            <w:gridSpan w:val="5"/>
          </w:tcPr>
          <w:p>
            <w:pPr>
              <w:ind w:left="60"/>
              <w:spacing w:after="0" w:line="202" w:lineRule="exact"/>
              <w:rPr>
                <w:sz w:val="20"/>
                <w:szCs w:val="20"/>
                <w:color w:val="auto"/>
              </w:rPr>
            </w:pPr>
            <w:r>
              <w:rPr>
                <w:rFonts w:ascii="Arial" w:cs="Arial" w:eastAsia="Arial" w:hAnsi="Arial"/>
                <w:sz w:val="18"/>
                <w:szCs w:val="18"/>
                <w:color w:val="auto"/>
              </w:rPr>
              <w:t>and the related notes to those statements included in this prospectus, before investing in our</w:t>
            </w:r>
          </w:p>
        </w:tc>
      </w:tr>
      <w:tr>
        <w:trPr>
          <w:trHeight w:val="239"/>
        </w:trPr>
        <w:tc>
          <w:tcPr>
            <w:tcW w:w="2900" w:type="dxa"/>
            <w:vAlign w:val="bottom"/>
          </w:tcPr>
          <w:p>
            <w:pPr>
              <w:spacing w:after="0"/>
              <w:rPr>
                <w:sz w:val="20"/>
                <w:szCs w:val="20"/>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common stock.</w:t>
            </w:r>
          </w:p>
        </w:tc>
        <w:tc>
          <w:tcPr>
            <w:tcW w:w="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60" w:type="dxa"/>
            <w:vAlign w:val="bottom"/>
          </w:tcPr>
          <w:p>
            <w:pPr>
              <w:spacing w:after="0"/>
              <w:rPr>
                <w:sz w:val="20"/>
                <w:szCs w:val="20"/>
                <w:color w:val="auto"/>
              </w:rPr>
            </w:pPr>
          </w:p>
        </w:tc>
      </w:tr>
    </w:tbl>
    <w:p>
      <w:pPr>
        <w:spacing w:after="0" w:line="9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number of shares of our common stock outstanding after this offering assumes the Reorganization takes place prior to the</w:t>
      </w:r>
    </w:p>
    <w:p>
      <w:pPr>
        <w:spacing w:after="0" w:line="14" w:lineRule="exact"/>
        <w:rPr>
          <w:sz w:val="20"/>
          <w:szCs w:val="20"/>
          <w:color w:val="auto"/>
        </w:rPr>
      </w:pPr>
    </w:p>
    <w:p>
      <w:pPr>
        <w:jc w:val="both"/>
        <w:ind w:left="300" w:right="20"/>
        <w:spacing w:after="0" w:line="234" w:lineRule="auto"/>
        <w:rPr>
          <w:sz w:val="20"/>
          <w:szCs w:val="20"/>
          <w:color w:val="auto"/>
        </w:rPr>
      </w:pPr>
      <w:r>
        <w:rPr>
          <w:rFonts w:ascii="Arial" w:cs="Arial" w:eastAsia="Arial" w:hAnsi="Arial"/>
          <w:sz w:val="18"/>
          <w:szCs w:val="18"/>
          <w:color w:val="auto"/>
        </w:rPr>
        <w:t>completion of this offering and is based on shares of our common stock (including shares of unvested restricted common stock) issued in exchange for common units and profits interests outstanding as of March 31, 2023, and after giving effect to</w:t>
      </w:r>
    </w:p>
    <w:p>
      <w:pPr>
        <w:spacing w:after="0" w:line="1" w:lineRule="exact"/>
        <w:rPr>
          <w:sz w:val="20"/>
          <w:szCs w:val="20"/>
          <w:color w:val="auto"/>
        </w:rPr>
      </w:pPr>
    </w:p>
    <w:p>
      <w:pPr>
        <w:ind w:left="300" w:right="60"/>
        <w:spacing w:after="0" w:line="242" w:lineRule="auto"/>
        <w:rPr>
          <w:sz w:val="20"/>
          <w:szCs w:val="20"/>
          <w:color w:val="auto"/>
        </w:rPr>
      </w:pPr>
      <w:r>
        <w:rPr>
          <w:rFonts w:ascii="Arial" w:cs="Arial" w:eastAsia="Arial" w:hAnsi="Arial"/>
          <w:sz w:val="18"/>
          <w:szCs w:val="18"/>
          <w:color w:val="auto"/>
        </w:rPr>
        <w:t>the conversion of shares of our convertible preferred stock issued in exchange for redeemable convertible preferred units outstanding as of March 31, 2023 into an equivalent number of shares of our common stock, which will occur immediately prior to the completion of this offering, and excludes:</w:t>
      </w:r>
    </w:p>
    <w:p>
      <w:pPr>
        <w:spacing w:after="0" w:line="112" w:lineRule="exact"/>
        <w:rPr>
          <w:sz w:val="20"/>
          <w:szCs w:val="20"/>
          <w:color w:val="auto"/>
        </w:rPr>
      </w:pPr>
    </w:p>
    <w:p>
      <w:pPr>
        <w:ind w:left="480" w:right="620" w:hanging="186"/>
        <w:spacing w:after="0" w:line="271" w:lineRule="auto"/>
        <w:tabs>
          <w:tab w:leader="none" w:pos="13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2023 Stock Option and Incentive Plan, which will become effective on the date immediately prior to execution of the underwriting agreement related to this offering; and</w:t>
      </w:r>
    </w:p>
    <w:p>
      <w:pPr>
        <w:spacing w:after="0" w:line="26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455" w:right="6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6325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16325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80" w:right="360" w:hanging="186"/>
        <w:spacing w:after="0" w:line="271" w:lineRule="auto"/>
        <w:tabs>
          <w:tab w:leader="none" w:pos="13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2023 Employee Stock Purchase Plan, which will become effective immediately prior to execution of the underwriting agreement related to this offering.</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Except as otherwise noted, all information in this prospectus: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assumes no vesting of the restricted common stock described above;</w:t>
      </w:r>
    </w:p>
    <w:p>
      <w:pPr>
        <w:sectPr>
          <w:pgSz w:w="11900" w:h="16838" w:orient="portrait"/>
          <w:cols w:equalWidth="0" w:num="1">
            <w:col w:w="10620"/>
          </w:cols>
          <w:pgMar w:left="320" w:top="455" w:right="959" w:bottom="1440" w:gutter="0" w:footer="0" w:header="0"/>
        </w:sectPr>
      </w:pPr>
    </w:p>
    <w:p>
      <w:pPr>
        <w:spacing w:after="0" w:line="144" w:lineRule="exact"/>
        <w:rPr>
          <w:sz w:val="20"/>
          <w:szCs w:val="20"/>
          <w:color w:val="auto"/>
        </w:rPr>
      </w:pPr>
    </w:p>
    <w:p>
      <w:pPr>
        <w:ind w:left="480" w:right="180" w:hanging="179"/>
        <w:spacing w:after="0" w:line="271" w:lineRule="auto"/>
        <w:tabs>
          <w:tab w:leader="none" w:pos="460" w:val="left"/>
        </w:tabs>
        <w:rPr>
          <w:sz w:val="20"/>
          <w:szCs w:val="20"/>
          <w:color w:val="auto"/>
        </w:rPr>
      </w:pPr>
      <w:r>
        <w:rPr>
          <w:rFonts w:ascii="Arial" w:cs="Arial" w:eastAsia="Arial" w:hAnsi="Arial"/>
          <w:sz w:val="18"/>
          <w:szCs w:val="18"/>
          <w:color w:val="auto"/>
        </w:rPr>
        <w:t>•</w:t>
        <w:tab/>
        <w:t>assumes no exercise of the underwriters’ option to purchase up to and</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additional shares of common stock in this offering;</w:t>
      </w:r>
    </w:p>
    <w:p>
      <w:pPr>
        <w:spacing w:after="0" w:line="357" w:lineRule="exact"/>
        <w:rPr>
          <w:sz w:val="20"/>
          <w:szCs w:val="20"/>
          <w:color w:val="auto"/>
        </w:rPr>
      </w:pPr>
    </w:p>
    <w:p>
      <w:pPr>
        <w:sectPr>
          <w:pgSz w:w="11900" w:h="16838" w:orient="portrait"/>
          <w:cols w:equalWidth="0" w:num="2">
            <w:col w:w="5920" w:space="720"/>
            <w:col w:w="3980"/>
          </w:cols>
          <w:pgMar w:left="320" w:top="455" w:right="959" w:bottom="1440" w:gutter="0" w:footer="0" w:header="0"/>
          <w:type w:val="continuous"/>
        </w:sectPr>
      </w:pPr>
    </w:p>
    <w:p>
      <w:pPr>
        <w:ind w:left="480" w:right="120" w:hanging="186"/>
        <w:spacing w:after="0" w:line="271"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assumes the filing of our amended and restated certificate of incorporation and the effectiveness of our amended and restated bylaws, which will occur upon the closing of this offering.</w:t>
      </w:r>
    </w:p>
    <w:p>
      <w:pPr>
        <w:spacing w:after="0" w:line="2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620"/>
          </w:cols>
          <w:pgMar w:left="320" w:top="455" w:right="9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078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20783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SUMMARY FINANCIAL DATA</w:t>
      </w:r>
    </w:p>
    <w:p>
      <w:pPr>
        <w:spacing w:after="0" w:line="154" w:lineRule="exact"/>
        <w:rPr>
          <w:sz w:val="20"/>
          <w:szCs w:val="20"/>
          <w:color w:val="auto"/>
        </w:rPr>
      </w:pPr>
    </w:p>
    <w:p>
      <w:pPr>
        <w:ind w:left="300"/>
        <w:spacing w:after="0" w:line="238" w:lineRule="auto"/>
        <w:rPr>
          <w:sz w:val="20"/>
          <w:szCs w:val="20"/>
          <w:color w:val="auto"/>
        </w:rPr>
      </w:pPr>
      <w:r>
        <w:rPr>
          <w:rFonts w:ascii="Arial" w:cs="Arial" w:eastAsia="Arial" w:hAnsi="Arial"/>
          <w:sz w:val="18"/>
          <w:szCs w:val="18"/>
          <w:color w:val="auto"/>
        </w:rPr>
        <w:t>The following tables present the summary consolidated financial data for Metagenomi Technologies, LLC and its consolidated subsidiary. You should read the following summary consolidated financial data together with our consolidated financial statements and the related notes appearing elsewhere in this prospectus and the “Management’s Discussion and Analysis of Financial Condition and Results of Operations” section of this prospectus. We have derived the consolidated statements of operations for the years ended December 31, 2022 and 2021 from our audited consolidated financial statements appearing elsewhere in this prospectus. The consolidated statements of operations for the three months ended March 31, 2023 and 2022 and the consolidated balance sheet data as of March 31, 2023 have been derived from our unaudited condensed consolidated financial statements appearing elsewhere in this prospectus, which have been prepared on the same basis as the audited consolidated financial statements. In the opinion of management, the unaudited data reflect all adjustments, consisting only of normal recurring adjustments, necessary for a fair statement of the financial information in those statements. Our historical results are not necessarily indicative of the results that may be expected in any future period. The summary consolidated financial data included in this section are not intended to replace the consolidated financial statements and the related notes included elsewhere in this prospectus.</w:t>
      </w:r>
    </w:p>
    <w:p>
      <w:pPr>
        <w:spacing w:after="0" w:line="2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5" w:right="6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11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5"/>
          </w:tcPr>
          <w:p>
            <w:pPr>
              <w:jc w:val="right"/>
              <w:ind w:right="1121"/>
              <w:spacing w:after="0"/>
              <w:rPr>
                <w:sz w:val="20"/>
                <w:szCs w:val="20"/>
                <w:color w:val="auto"/>
              </w:rPr>
            </w:pPr>
            <w:r>
              <w:rPr>
                <w:rFonts w:ascii="Arial" w:cs="Arial" w:eastAsia="Arial" w:hAnsi="Arial"/>
                <w:sz w:val="16"/>
                <w:szCs w:val="16"/>
                <w:b w:val="1"/>
                <w:bCs w:val="1"/>
                <w:color w:val="auto"/>
              </w:rPr>
              <w:t>Year Ended</w:t>
            </w:r>
          </w:p>
        </w:tc>
        <w:tc>
          <w:tcPr>
            <w:tcW w:w="202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gridSpan w:val="5"/>
          </w:tcPr>
          <w:p>
            <w:pPr>
              <w:jc w:val="right"/>
              <w:ind w:right="1041"/>
              <w:spacing w:after="0"/>
              <w:rPr>
                <w:sz w:val="20"/>
                <w:szCs w:val="20"/>
                <w:color w:val="auto"/>
              </w:rPr>
            </w:pPr>
            <w:r>
              <w:rPr>
                <w:rFonts w:ascii="Arial" w:cs="Arial" w:eastAsia="Arial" w:hAnsi="Arial"/>
                <w:sz w:val="16"/>
                <w:szCs w:val="16"/>
                <w:b w:val="1"/>
                <w:bCs w:val="1"/>
                <w:color w:val="auto"/>
              </w:rPr>
              <w:t>December 31,</w:t>
            </w:r>
          </w:p>
        </w:tc>
        <w:tc>
          <w:tcPr>
            <w:tcW w:w="600" w:type="dxa"/>
            <w:vAlign w:val="bottom"/>
          </w:tcPr>
          <w:p>
            <w:pPr>
              <w:spacing w:after="0"/>
              <w:rPr>
                <w:sz w:val="17"/>
                <w:szCs w:val="17"/>
                <w:color w:val="auto"/>
              </w:rPr>
            </w:pPr>
          </w:p>
        </w:tc>
        <w:tc>
          <w:tcPr>
            <w:tcW w:w="142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183"/>
        </w:trPr>
        <w:tc>
          <w:tcPr>
            <w:tcW w:w="116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72"/>
              <w:spacing w:after="0" w:line="183" w:lineRule="exact"/>
              <w:rPr>
                <w:sz w:val="20"/>
                <w:szCs w:val="20"/>
                <w:color w:val="auto"/>
              </w:rPr>
            </w:pPr>
            <w:r>
              <w:rPr>
                <w:rFonts w:ascii="Arial" w:cs="Arial" w:eastAsia="Arial" w:hAnsi="Arial"/>
                <w:sz w:val="16"/>
                <w:szCs w:val="16"/>
                <w:b w:val="1"/>
                <w:bCs w:val="1"/>
                <w:color w:val="auto"/>
              </w:rPr>
              <w:t>2021</w:t>
            </w:r>
          </w:p>
        </w:tc>
        <w:tc>
          <w:tcPr>
            <w:tcW w:w="5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92"/>
              <w:spacing w:after="0" w:line="183" w:lineRule="exact"/>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1360" w:type="dxa"/>
            <w:vAlign w:val="bottom"/>
            <w:tcBorders>
              <w:top w:val="single" w:sz="8" w:color="auto"/>
              <w:bottom w:val="single" w:sz="8" w:color="auto"/>
            </w:tcBorders>
            <w:gridSpan w:val="3"/>
          </w:tcPr>
          <w:p>
            <w:pPr>
              <w:jc w:val="right"/>
              <w:ind w:right="90"/>
              <w:spacing w:after="0" w:line="183" w:lineRule="exact"/>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gridSpan w:val="7"/>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Consolidated Statement of Operations Data:</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600" w:type="dxa"/>
            <w:vAlign w:val="bottom"/>
            <w:gridSpan w:val="2"/>
          </w:tcPr>
          <w:p>
            <w:pPr>
              <w:spacing w:after="0"/>
              <w:rPr>
                <w:sz w:val="20"/>
                <w:szCs w:val="20"/>
                <w:color w:val="auto"/>
              </w:rPr>
            </w:pPr>
            <w:r>
              <w:rPr>
                <w:rFonts w:ascii="Arial" w:cs="Arial" w:eastAsia="Arial" w:hAnsi="Arial"/>
                <w:sz w:val="18"/>
                <w:szCs w:val="18"/>
                <w:color w:val="auto"/>
              </w:rPr>
              <w:t>Collaboration revenue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90"/>
              <w:spacing w:after="0"/>
              <w:rPr>
                <w:sz w:val="20"/>
                <w:szCs w:val="20"/>
                <w:color w:val="auto"/>
              </w:rPr>
            </w:pPr>
            <w:r>
              <w:rPr>
                <w:rFonts w:ascii="Arial" w:cs="Arial" w:eastAsia="Arial" w:hAnsi="Arial"/>
                <w:sz w:val="18"/>
                <w:szCs w:val="18"/>
                <w:color w:val="auto"/>
              </w:rPr>
              <w:t>243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1"/>
              <w:spacing w:after="0"/>
              <w:rPr>
                <w:sz w:val="20"/>
                <w:szCs w:val="20"/>
                <w:color w:val="auto"/>
              </w:rPr>
            </w:pPr>
            <w:r>
              <w:rPr>
                <w:rFonts w:ascii="Arial" w:cs="Arial" w:eastAsia="Arial" w:hAnsi="Arial"/>
                <w:sz w:val="18"/>
                <w:szCs w:val="18"/>
                <w:color w:val="auto"/>
              </w:rPr>
              <w:t>17,200</w:t>
            </w:r>
          </w:p>
        </w:tc>
        <w:tc>
          <w:tcPr>
            <w:tcW w:w="600" w:type="dxa"/>
            <w:vAlign w:val="bottom"/>
          </w:tcPr>
          <w:p>
            <w:pPr>
              <w:jc w:val="right"/>
              <w:ind w:right="414"/>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5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1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390"/>
              <w:spacing w:after="0" w:line="202" w:lineRule="exact"/>
              <w:rPr>
                <w:sz w:val="20"/>
                <w:szCs w:val="20"/>
                <w:color w:val="auto"/>
              </w:rPr>
            </w:pPr>
            <w:r>
              <w:rPr>
                <w:rFonts w:ascii="Arial" w:cs="Arial" w:eastAsia="Arial" w:hAnsi="Arial"/>
                <w:sz w:val="18"/>
                <w:szCs w:val="18"/>
                <w:color w:val="auto"/>
              </w:rPr>
              <w:t>14,478</w:t>
            </w:r>
          </w:p>
        </w:tc>
        <w:tc>
          <w:tcPr>
            <w:tcW w:w="100" w:type="dxa"/>
            <w:vAlign w:val="bottom"/>
          </w:tcPr>
          <w:p>
            <w:pPr>
              <w:spacing w:after="0"/>
              <w:rPr>
                <w:sz w:val="17"/>
                <w:szCs w:val="17"/>
                <w:color w:val="auto"/>
              </w:rPr>
            </w:pPr>
          </w:p>
        </w:tc>
        <w:tc>
          <w:tcPr>
            <w:tcW w:w="1300" w:type="dxa"/>
            <w:vAlign w:val="bottom"/>
            <w:gridSpan w:val="2"/>
          </w:tcPr>
          <w:p>
            <w:pPr>
              <w:jc w:val="right"/>
              <w:ind w:right="401"/>
              <w:spacing w:after="0" w:line="202" w:lineRule="exact"/>
              <w:rPr>
                <w:sz w:val="20"/>
                <w:szCs w:val="20"/>
                <w:color w:val="auto"/>
              </w:rPr>
            </w:pPr>
            <w:r>
              <w:rPr>
                <w:rFonts w:ascii="Arial" w:cs="Arial" w:eastAsia="Arial" w:hAnsi="Arial"/>
                <w:sz w:val="18"/>
                <w:szCs w:val="18"/>
                <w:color w:val="auto"/>
              </w:rPr>
              <w:t>43,139</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9,712</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1"/>
              <w:spacing w:after="0" w:line="202" w:lineRule="exact"/>
              <w:rPr>
                <w:sz w:val="20"/>
                <w:szCs w:val="20"/>
                <w:color w:val="auto"/>
              </w:rPr>
            </w:pPr>
            <w:r>
              <w:rPr>
                <w:rFonts w:ascii="Arial" w:cs="Arial" w:eastAsia="Arial" w:hAnsi="Arial"/>
                <w:sz w:val="18"/>
                <w:szCs w:val="18"/>
                <w:color w:val="auto"/>
              </w:rPr>
              <w:t>18,701</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00" w:type="dxa"/>
            <w:vAlign w:val="bottom"/>
            <w:gridSpan w:val="2"/>
          </w:tcPr>
          <w:p>
            <w:pPr>
              <w:ind w:left="1080"/>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24,190</w:t>
            </w: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61,840</w:t>
            </w:r>
          </w:p>
        </w:tc>
        <w:tc>
          <w:tcPr>
            <w:tcW w:w="480" w:type="dxa"/>
            <w:vAlign w:val="bottom"/>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(23,947)</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41"/>
              <w:spacing w:after="0" w:line="202" w:lineRule="exact"/>
              <w:rPr>
                <w:sz w:val="20"/>
                <w:szCs w:val="20"/>
                <w:color w:val="auto"/>
              </w:rPr>
            </w:pPr>
            <w:r>
              <w:rPr>
                <w:rFonts w:ascii="Arial" w:cs="Arial" w:eastAsia="Arial" w:hAnsi="Arial"/>
                <w:sz w:val="18"/>
                <w:szCs w:val="18"/>
                <w:color w:val="auto"/>
              </w:rPr>
              <w:t>(44,640)</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6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Interest expense</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41"/>
              <w:spacing w:after="0" w:line="202" w:lineRule="exact"/>
              <w:rPr>
                <w:sz w:val="20"/>
                <w:szCs w:val="20"/>
                <w:color w:val="auto"/>
              </w:rPr>
            </w:pPr>
            <w:r>
              <w:rPr>
                <w:rFonts w:ascii="Arial" w:cs="Arial" w:eastAsia="Arial" w:hAnsi="Arial"/>
                <w:sz w:val="18"/>
                <w:szCs w:val="18"/>
                <w:color w:val="auto"/>
              </w:rPr>
              <w:t>(98)</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Interest income</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390"/>
              <w:spacing w:after="0" w:line="202"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7"/>
                <w:szCs w:val="17"/>
                <w:color w:val="auto"/>
              </w:rPr>
            </w:pPr>
          </w:p>
        </w:tc>
        <w:tc>
          <w:tcPr>
            <w:tcW w:w="1300" w:type="dxa"/>
            <w:vAlign w:val="bottom"/>
            <w:gridSpan w:val="2"/>
          </w:tcPr>
          <w:p>
            <w:pPr>
              <w:jc w:val="right"/>
              <w:ind w:right="401"/>
              <w:spacing w:after="0" w:line="202" w:lineRule="exact"/>
              <w:rPr>
                <w:sz w:val="20"/>
                <w:szCs w:val="20"/>
                <w:color w:val="auto"/>
              </w:rPr>
            </w:pPr>
            <w:r>
              <w:rPr>
                <w:rFonts w:ascii="Arial" w:cs="Arial" w:eastAsia="Arial" w:hAnsi="Arial"/>
                <w:sz w:val="18"/>
                <w:szCs w:val="18"/>
                <w:color w:val="auto"/>
              </w:rPr>
              <w:t>3,419</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Change in fair value of long-term investments</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2,760</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1"/>
              <w:spacing w:after="0" w:line="202" w:lineRule="exact"/>
              <w:rPr>
                <w:sz w:val="20"/>
                <w:szCs w:val="20"/>
                <w:color w:val="auto"/>
              </w:rPr>
            </w:pPr>
            <w:r>
              <w:rPr>
                <w:rFonts w:ascii="Arial" w:cs="Arial" w:eastAsia="Arial" w:hAnsi="Arial"/>
                <w:sz w:val="18"/>
                <w:szCs w:val="18"/>
                <w:color w:val="auto"/>
              </w:rPr>
              <w:t>94</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Other income, net</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390"/>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1300" w:type="dxa"/>
            <w:vAlign w:val="bottom"/>
            <w:gridSpan w:val="2"/>
          </w:tcPr>
          <w:p>
            <w:pPr>
              <w:jc w:val="right"/>
              <w:ind w:right="401"/>
              <w:spacing w:after="0" w:line="202" w:lineRule="exact"/>
              <w:rPr>
                <w:sz w:val="20"/>
                <w:szCs w:val="20"/>
                <w:color w:val="auto"/>
              </w:rPr>
            </w:pPr>
            <w:r>
              <w:rPr>
                <w:rFonts w:ascii="Arial" w:cs="Arial" w:eastAsia="Arial" w:hAnsi="Arial"/>
                <w:sz w:val="18"/>
                <w:szCs w:val="18"/>
                <w:color w:val="auto"/>
              </w:rPr>
              <w:t>201</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gridSpan w:val="2"/>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other income</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2,505</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1"/>
              <w:spacing w:after="0" w:line="202" w:lineRule="exact"/>
              <w:rPr>
                <w:sz w:val="20"/>
                <w:szCs w:val="20"/>
                <w:color w:val="auto"/>
              </w:rPr>
            </w:pPr>
            <w:r>
              <w:rPr>
                <w:rFonts w:ascii="Arial" w:cs="Arial" w:eastAsia="Arial" w:hAnsi="Arial"/>
                <w:sz w:val="18"/>
                <w:szCs w:val="18"/>
                <w:color w:val="auto"/>
              </w:rPr>
              <w:t>3,616</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00" w:type="dxa"/>
            <w:vAlign w:val="bottom"/>
            <w:gridSpan w:val="2"/>
          </w:tcPr>
          <w:p>
            <w:pPr>
              <w:spacing w:after="0"/>
              <w:rPr>
                <w:sz w:val="20"/>
                <w:szCs w:val="20"/>
                <w:color w:val="auto"/>
              </w:rPr>
            </w:pPr>
            <w:r>
              <w:rPr>
                <w:rFonts w:ascii="Arial" w:cs="Arial" w:eastAsia="Arial" w:hAnsi="Arial"/>
                <w:sz w:val="18"/>
                <w:szCs w:val="18"/>
                <w:color w:val="auto"/>
              </w:rPr>
              <w:t>Net loss before provision for income taxes</w:t>
            </w:r>
          </w:p>
        </w:tc>
        <w:tc>
          <w:tcPr>
            <w:tcW w:w="1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(41,024)</w:t>
            </w:r>
          </w:p>
        </w:tc>
        <w:tc>
          <w:tcPr>
            <w:tcW w:w="4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41"/>
              <w:spacing w:after="0" w:line="202" w:lineRule="exact"/>
              <w:rPr>
                <w:sz w:val="20"/>
                <w:szCs w:val="20"/>
                <w:color w:val="auto"/>
              </w:rPr>
            </w:pPr>
            <w:r>
              <w:rPr>
                <w:rFonts w:ascii="Arial" w:cs="Arial" w:eastAsia="Arial" w:hAnsi="Arial"/>
                <w:sz w:val="18"/>
                <w:szCs w:val="18"/>
                <w:color w:val="auto"/>
              </w:rPr>
              <w:t>(2,569)</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50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(43,593</w:t>
            </w:r>
          </w:p>
        </w:tc>
        <w:tc>
          <w:tcPr>
            <w:tcW w:w="480" w:type="dxa"/>
            <w:vAlign w:val="bottom"/>
          </w:tcPr>
          <w:p>
            <w:pPr>
              <w:jc w:val="right"/>
              <w:ind w:right="34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920" w:type="dxa"/>
            <w:vAlign w:val="bottom"/>
            <w:gridSpan w:val="4"/>
            <w:shd w:val="clear" w:color="auto" w:fill="CCEEFF"/>
          </w:tcPr>
          <w:p>
            <w:pPr>
              <w:ind w:left="360"/>
              <w:spacing w:after="0" w:line="177" w:lineRule="exact"/>
              <w:rPr>
                <w:sz w:val="20"/>
                <w:szCs w:val="20"/>
                <w:color w:val="auto"/>
              </w:rPr>
            </w:pPr>
            <w:r>
              <w:rPr>
                <w:rFonts w:ascii="Arial" w:cs="Arial" w:eastAsia="Arial" w:hAnsi="Arial"/>
                <w:sz w:val="18"/>
                <w:szCs w:val="18"/>
                <w:color w:val="auto"/>
              </w:rPr>
              <w:t>Net loss per unit attributable to common unitholders, basic and</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diluted(1)</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(7.34)</w:t>
            </w:r>
          </w:p>
        </w:tc>
        <w:tc>
          <w:tcPr>
            <w:tcW w:w="60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00" w:type="dxa"/>
            <w:vAlign w:val="bottom"/>
            <w:gridSpan w:val="3"/>
          </w:tcPr>
          <w:p>
            <w:pPr>
              <w:ind w:left="360"/>
              <w:spacing w:after="0" w:line="177" w:lineRule="exact"/>
              <w:rPr>
                <w:sz w:val="20"/>
                <w:szCs w:val="20"/>
                <w:color w:val="auto"/>
              </w:rPr>
            </w:pPr>
            <w:r>
              <w:rPr>
                <w:rFonts w:ascii="Arial" w:cs="Arial" w:eastAsia="Arial" w:hAnsi="Arial"/>
                <w:sz w:val="18"/>
                <w:szCs w:val="18"/>
                <w:color w:val="auto"/>
              </w:rPr>
              <w:t>Weighted-average common units outstanding, basic and</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600" w:type="dxa"/>
            <w:vAlign w:val="bottom"/>
            <w:gridSpan w:val="2"/>
          </w:tcPr>
          <w:p>
            <w:pPr>
              <w:ind w:left="540"/>
              <w:spacing w:after="0"/>
              <w:rPr>
                <w:sz w:val="20"/>
                <w:szCs w:val="20"/>
                <w:color w:val="auto"/>
              </w:rPr>
            </w:pPr>
            <w:r>
              <w:rPr>
                <w:rFonts w:ascii="Arial" w:cs="Arial" w:eastAsia="Arial" w:hAnsi="Arial"/>
                <w:sz w:val="18"/>
                <w:szCs w:val="18"/>
                <w:color w:val="auto"/>
              </w:rPr>
              <w:t>diluted(1)</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390"/>
              <w:spacing w:after="0"/>
              <w:rPr>
                <w:sz w:val="20"/>
                <w:szCs w:val="20"/>
                <w:color w:val="auto"/>
              </w:rPr>
            </w:pPr>
            <w:r>
              <w:rPr>
                <w:rFonts w:ascii="Arial" w:cs="Arial" w:eastAsia="Arial" w:hAnsi="Arial"/>
                <w:sz w:val="18"/>
                <w:szCs w:val="18"/>
                <w:color w:val="auto"/>
                <w:w w:val="99"/>
              </w:rPr>
              <w:t>5,691,431</w:t>
            </w:r>
          </w:p>
        </w:tc>
        <w:tc>
          <w:tcPr>
            <w:tcW w:w="100" w:type="dxa"/>
            <w:vAlign w:val="bottom"/>
          </w:tcPr>
          <w:p>
            <w:pPr>
              <w:spacing w:after="0"/>
              <w:rPr>
                <w:sz w:val="19"/>
                <w:szCs w:val="19"/>
                <w:color w:val="auto"/>
              </w:rPr>
            </w:pPr>
          </w:p>
        </w:tc>
        <w:tc>
          <w:tcPr>
            <w:tcW w:w="1300" w:type="dxa"/>
            <w:vAlign w:val="bottom"/>
            <w:gridSpan w:val="2"/>
          </w:tcPr>
          <w:p>
            <w:pPr>
              <w:jc w:val="right"/>
              <w:ind w:right="401"/>
              <w:spacing w:after="0"/>
              <w:rPr>
                <w:sz w:val="20"/>
                <w:szCs w:val="20"/>
                <w:color w:val="auto"/>
              </w:rPr>
            </w:pPr>
            <w:r>
              <w:rPr>
                <w:rFonts w:ascii="Arial" w:cs="Arial" w:eastAsia="Arial" w:hAnsi="Arial"/>
                <w:sz w:val="18"/>
                <w:szCs w:val="18"/>
                <w:color w:val="auto"/>
                <w:w w:val="99"/>
              </w:rPr>
              <w:t>5,938,654</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00" w:type="dxa"/>
            <w:vAlign w:val="bottom"/>
            <w:gridSpan w:val="2"/>
            <w:shd w:val="clear" w:color="auto" w:fill="CCEEFF"/>
          </w:tcPr>
          <w:p>
            <w:pPr>
              <w:ind w:left="360"/>
              <w:spacing w:after="0" w:line="177" w:lineRule="exact"/>
              <w:rPr>
                <w:sz w:val="20"/>
                <w:szCs w:val="20"/>
                <w:color w:val="auto"/>
              </w:rPr>
            </w:pPr>
            <w:r>
              <w:rPr>
                <w:rFonts w:ascii="Arial" w:cs="Arial" w:eastAsia="Arial" w:hAnsi="Arial"/>
                <w:sz w:val="18"/>
                <w:szCs w:val="18"/>
                <w:color w:val="auto"/>
              </w:rPr>
              <w:t>Pro forma net loss per share attributable to common</w:t>
            </w: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stockholders, basic and diluted (unaudited)(2)</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gridSpan w:val="4"/>
            <w:vMerge w:val="restart"/>
          </w:tcPr>
          <w:p>
            <w:pPr>
              <w:ind w:left="360"/>
              <w:spacing w:after="0"/>
              <w:rPr>
                <w:sz w:val="20"/>
                <w:szCs w:val="20"/>
                <w:color w:val="auto"/>
              </w:rPr>
            </w:pPr>
            <w:r>
              <w:rPr>
                <w:rFonts w:ascii="Arial" w:cs="Arial" w:eastAsia="Arial" w:hAnsi="Arial"/>
                <w:sz w:val="18"/>
                <w:szCs w:val="18"/>
                <w:color w:val="auto"/>
              </w:rPr>
              <w:t>Pro forma weighted-average common stock outstanding, basic</w:t>
            </w: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920" w:type="dxa"/>
            <w:vAlign w:val="bottom"/>
            <w:gridSpan w:val="4"/>
            <w:vMerge w:val="continue"/>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600" w:type="dxa"/>
            <w:vAlign w:val="bottom"/>
            <w:gridSpan w:val="2"/>
          </w:tcPr>
          <w:p>
            <w:pPr>
              <w:ind w:left="540"/>
              <w:spacing w:after="0"/>
              <w:rPr>
                <w:sz w:val="20"/>
                <w:szCs w:val="20"/>
                <w:color w:val="auto"/>
              </w:rPr>
            </w:pPr>
            <w:r>
              <w:rPr>
                <w:rFonts w:ascii="Arial" w:cs="Arial" w:eastAsia="Arial" w:hAnsi="Arial"/>
                <w:sz w:val="18"/>
                <w:szCs w:val="18"/>
                <w:color w:val="auto"/>
              </w:rPr>
              <w:t>and diluted (unaudited)(2)</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16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6040" w:type="dxa"/>
            <w:vAlign w:val="bottom"/>
            <w:tcBorders>
              <w:bottom w:val="single" w:sz="8" w:color="auto"/>
            </w:tcBorders>
            <w:gridSpan w:val="12"/>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3440" w:type="dxa"/>
            <w:vAlign w:val="bottom"/>
          </w:tcPr>
          <w:p>
            <w:pPr>
              <w:spacing w:after="0"/>
              <w:rPr>
                <w:sz w:val="11"/>
                <w:szCs w:val="11"/>
                <w:color w:val="auto"/>
              </w:rPr>
            </w:pPr>
          </w:p>
        </w:tc>
        <w:tc>
          <w:tcPr>
            <w:tcW w:w="6040" w:type="dxa"/>
            <w:vAlign w:val="bottom"/>
            <w:gridSpan w:val="12"/>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600" w:type="dxa"/>
            <w:vAlign w:val="bottom"/>
            <w:gridSpan w:val="2"/>
          </w:tcPr>
          <w:p>
            <w:pPr>
              <w:spacing w:after="0"/>
              <w:rPr>
                <w:sz w:val="20"/>
                <w:szCs w:val="20"/>
                <w:color w:val="auto"/>
              </w:rPr>
            </w:pPr>
            <w:r>
              <w:rPr>
                <w:rFonts w:ascii="Arial" w:cs="Arial" w:eastAsia="Arial" w:hAnsi="Arial"/>
                <w:sz w:val="13"/>
                <w:szCs w:val="13"/>
                <w:color w:val="auto"/>
              </w:rPr>
              <w:t>(1)  See Note 16 to our audited consolidated financial statements and Note</w:t>
            </w:r>
          </w:p>
        </w:tc>
        <w:tc>
          <w:tcPr>
            <w:tcW w:w="6040" w:type="dxa"/>
            <w:vAlign w:val="bottom"/>
            <w:gridSpan w:val="12"/>
          </w:tcPr>
          <w:p>
            <w:pPr>
              <w:jc w:val="right"/>
              <w:ind w:right="660"/>
              <w:spacing w:after="0"/>
              <w:rPr>
                <w:sz w:val="20"/>
                <w:szCs w:val="20"/>
                <w:color w:val="auto"/>
              </w:rPr>
            </w:pPr>
            <w:r>
              <w:rPr>
                <w:rFonts w:ascii="Arial" w:cs="Arial" w:eastAsia="Arial" w:hAnsi="Arial"/>
                <w:sz w:val="13"/>
                <w:szCs w:val="13"/>
                <w:color w:val="auto"/>
              </w:rPr>
              <w:t>to our unaudited condensed consolidated financial statements included elsewhere in this</w:t>
            </w:r>
          </w:p>
        </w:tc>
        <w:tc>
          <w:tcPr>
            <w:tcW w:w="0" w:type="dxa"/>
            <w:vAlign w:val="bottom"/>
          </w:tcPr>
          <w:p>
            <w:pPr>
              <w:spacing w:after="0"/>
              <w:rPr>
                <w:sz w:val="1"/>
                <w:szCs w:val="1"/>
                <w:color w:val="auto"/>
              </w:rPr>
            </w:pPr>
          </w:p>
        </w:tc>
      </w:tr>
    </w:tbl>
    <w:p>
      <w:pPr>
        <w:ind w:left="600"/>
        <w:spacing w:after="0"/>
        <w:rPr>
          <w:sz w:val="20"/>
          <w:szCs w:val="20"/>
          <w:color w:val="auto"/>
        </w:rPr>
      </w:pPr>
      <w:r>
        <w:rPr>
          <w:rFonts w:ascii="Arial" w:cs="Arial" w:eastAsia="Arial" w:hAnsi="Arial"/>
          <w:sz w:val="13"/>
          <w:szCs w:val="13"/>
          <w:color w:val="auto"/>
        </w:rPr>
        <w:t>prospectus for details on the calculation of basic and diluted net loss per unit attributable to common unitholders.</w:t>
      </w:r>
    </w:p>
    <w:p>
      <w:pPr>
        <w:ind w:left="300"/>
        <w:spacing w:after="0"/>
        <w:tabs>
          <w:tab w:leader="none" w:pos="580" w:val="left"/>
        </w:tabs>
        <w:rPr>
          <w:sz w:val="20"/>
          <w:szCs w:val="20"/>
          <w:color w:val="auto"/>
        </w:rPr>
      </w:pPr>
      <w:r>
        <w:rPr>
          <w:rFonts w:ascii="Arial" w:cs="Arial" w:eastAsia="Arial" w:hAnsi="Arial"/>
          <w:sz w:val="13"/>
          <w:szCs w:val="13"/>
          <w:color w:val="auto"/>
        </w:rPr>
        <w:t>(2)</w:t>
        <w:tab/>
        <w:t>See “Unaudited Pro Forma Net Loss Per Share Attributable to Common Stockholders” subsection below for details on our unaudited pro forma calculations.</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Unaudited Pro Forma Net Loss Per Share Attributable to Common Stockholders</w:t>
      </w:r>
    </w:p>
    <w:p>
      <w:pPr>
        <w:spacing w:after="0" w:line="135" w:lineRule="exact"/>
        <w:rPr>
          <w:sz w:val="20"/>
          <w:szCs w:val="20"/>
          <w:color w:val="auto"/>
        </w:rPr>
      </w:pPr>
    </w:p>
    <w:p>
      <w:pPr>
        <w:jc w:val="both"/>
        <w:ind w:left="300"/>
        <w:spacing w:after="0" w:line="259" w:lineRule="auto"/>
        <w:rPr>
          <w:sz w:val="20"/>
          <w:szCs w:val="20"/>
          <w:color w:val="auto"/>
        </w:rPr>
      </w:pPr>
      <w:r>
        <w:rPr>
          <w:rFonts w:ascii="Arial" w:cs="Arial" w:eastAsia="Arial" w:hAnsi="Arial"/>
          <w:sz w:val="17"/>
          <w:szCs w:val="17"/>
          <w:color w:val="auto"/>
        </w:rPr>
        <w:t>The unaudited pro forma basic and diluted net loss per share attributable to common stockholders for the year ended December 31, 2022 and for the three months ended March 31, 2023 has been computed to give effect to (i) the Reorganization, (ii) the conversion of</w:t>
      </w:r>
    </w:p>
    <w:p>
      <w:pPr>
        <w:spacing w:after="0" w:line="1" w:lineRule="exact"/>
        <w:rPr>
          <w:sz w:val="20"/>
          <w:szCs w:val="20"/>
          <w:color w:val="auto"/>
        </w:rPr>
      </w:pPr>
    </w:p>
    <w:p>
      <w:pPr>
        <w:ind w:left="300" w:right="20" w:firstLine="850"/>
        <w:spacing w:after="0" w:line="239" w:lineRule="auto"/>
        <w:rPr>
          <w:sz w:val="20"/>
          <w:szCs w:val="20"/>
          <w:color w:val="auto"/>
        </w:rPr>
      </w:pPr>
      <w:r>
        <w:rPr>
          <w:rFonts w:ascii="Arial" w:cs="Arial" w:eastAsia="Arial" w:hAnsi="Arial"/>
          <w:sz w:val="18"/>
          <w:szCs w:val="18"/>
          <w:color w:val="auto"/>
        </w:rPr>
        <w:t>and shares of our convertible preferred stock outstanding as of December 31, 2022 and March 31, 2023, respectively, into an equivalent number of shares of our common stock as if such conversion occurred on January 1, 2022 and (iii) the filing and effectiveness of our amended and restated certificate of incorporation that will be in effect immediately prior to the completion of this offering. The unaudited pro forma net loss attributable to common stockholders gives effect to the adjustments described below. The unaudited pro forma net loss per share attributable to common stockholders,</w:t>
      </w:r>
    </w:p>
    <w:p>
      <w:pPr>
        <w:spacing w:after="0" w:line="28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5"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693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4693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basic and diluted, does not include the effect of the shares of our common stock expected to be sold in this offering.</w:t>
      </w:r>
    </w:p>
    <w:p>
      <w:pPr>
        <w:spacing w:after="0" w:line="131" w:lineRule="exact"/>
        <w:rPr>
          <w:sz w:val="20"/>
          <w:szCs w:val="20"/>
          <w:color w:val="auto"/>
        </w:rPr>
      </w:pPr>
    </w:p>
    <w:p>
      <w:pPr>
        <w:ind w:left="300" w:right="240"/>
        <w:spacing w:after="0" w:line="271" w:lineRule="auto"/>
        <w:rPr>
          <w:sz w:val="20"/>
          <w:szCs w:val="20"/>
          <w:color w:val="auto"/>
        </w:rPr>
      </w:pPr>
      <w:r>
        <w:rPr>
          <w:rFonts w:ascii="Arial" w:cs="Arial" w:eastAsia="Arial" w:hAnsi="Arial"/>
          <w:sz w:val="18"/>
          <w:szCs w:val="18"/>
          <w:color w:val="auto"/>
        </w:rPr>
        <w:t>The following table sets forth the computation of the unaudited pro forma basic and diluted net loss per share assuming the offering is completed on January 1, 2022:</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2"/>
          </w:tcPr>
          <w:p>
            <w:pPr>
              <w:jc w:val="right"/>
              <w:ind w:right="940"/>
              <w:spacing w:after="0"/>
              <w:rPr>
                <w:sz w:val="20"/>
                <w:szCs w:val="20"/>
                <w:color w:val="auto"/>
              </w:rPr>
            </w:pPr>
            <w:r>
              <w:rPr>
                <w:rFonts w:ascii="Arial" w:cs="Arial" w:eastAsia="Arial" w:hAnsi="Arial"/>
                <w:sz w:val="16"/>
                <w:szCs w:val="16"/>
                <w:b w:val="1"/>
                <w:bCs w:val="1"/>
                <w:color w:val="auto"/>
              </w:rPr>
              <w:t>Year Ended</w:t>
            </w:r>
          </w:p>
        </w:tc>
        <w:tc>
          <w:tcPr>
            <w:tcW w:w="360" w:type="dxa"/>
            <w:vAlign w:val="bottom"/>
          </w:tcPr>
          <w:p>
            <w:pPr>
              <w:spacing w:after="0"/>
              <w:rPr>
                <w:sz w:val="16"/>
                <w:szCs w:val="16"/>
                <w:color w:val="auto"/>
              </w:rPr>
            </w:pPr>
          </w:p>
        </w:tc>
        <w:tc>
          <w:tcPr>
            <w:tcW w:w="1880" w:type="dxa"/>
            <w:vAlign w:val="bottom"/>
            <w:gridSpan w:val="2"/>
          </w:tcPr>
          <w:p>
            <w:pPr>
              <w:ind w:left="20"/>
              <w:spacing w:after="0"/>
              <w:rPr>
                <w:sz w:val="20"/>
                <w:szCs w:val="20"/>
                <w:color w:val="auto"/>
              </w:rPr>
            </w:pPr>
            <w:r>
              <w:rPr>
                <w:rFonts w:ascii="Arial" w:cs="Arial" w:eastAsia="Arial" w:hAnsi="Arial"/>
                <w:sz w:val="16"/>
                <w:szCs w:val="16"/>
                <w:b w:val="1"/>
                <w:bCs w:val="1"/>
                <w:color w:val="auto"/>
              </w:rPr>
              <w:t>Three Months Ended</w:t>
            </w:r>
          </w:p>
        </w:tc>
      </w:tr>
      <w:tr>
        <w:trPr>
          <w:trHeight w:val="203"/>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120" w:type="dxa"/>
            <w:vAlign w:val="bottom"/>
            <w:gridSpan w:val="3"/>
          </w:tcPr>
          <w:p>
            <w:pPr>
              <w:spacing w:after="0"/>
              <w:rPr>
                <w:sz w:val="20"/>
                <w:szCs w:val="20"/>
                <w:color w:val="auto"/>
              </w:rPr>
            </w:pPr>
            <w:r>
              <w:rPr>
                <w:rFonts w:ascii="Arial" w:cs="Arial" w:eastAsia="Arial" w:hAnsi="Arial"/>
                <w:sz w:val="16"/>
                <w:szCs w:val="16"/>
                <w:b w:val="1"/>
                <w:bCs w:val="1"/>
                <w:color w:val="auto"/>
              </w:rPr>
              <w:t>December 31, 2022</w:t>
            </w:r>
          </w:p>
        </w:tc>
        <w:tc>
          <w:tcPr>
            <w:tcW w:w="360" w:type="dxa"/>
            <w:vAlign w:val="bottom"/>
          </w:tcPr>
          <w:p>
            <w:pPr>
              <w:spacing w:after="0"/>
              <w:rPr>
                <w:sz w:val="17"/>
                <w:szCs w:val="17"/>
                <w:color w:val="auto"/>
              </w:rPr>
            </w:pPr>
          </w:p>
        </w:tc>
        <w:tc>
          <w:tcPr>
            <w:tcW w:w="18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2023</w:t>
            </w:r>
          </w:p>
        </w:tc>
      </w:tr>
      <w:tr>
        <w:trPr>
          <w:trHeight w:val="183"/>
        </w:trPr>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200"/>
              <w:spacing w:after="0" w:line="183" w:lineRule="exact"/>
              <w:rPr>
                <w:sz w:val="20"/>
                <w:szCs w:val="20"/>
                <w:color w:val="auto"/>
              </w:rPr>
            </w:pPr>
            <w:r>
              <w:rPr>
                <w:rFonts w:ascii="Arial" w:cs="Arial" w:eastAsia="Arial" w:hAnsi="Arial"/>
                <w:sz w:val="16"/>
                <w:szCs w:val="16"/>
                <w:b w:val="1"/>
                <w:bCs w:val="1"/>
                <w:color w:val="auto"/>
              </w:rPr>
              <w:t>(unaudited)</w:t>
            </w: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tcBorders>
              <w:top w:val="single" w:sz="8" w:color="auto"/>
            </w:tcBorders>
          </w:tcPr>
          <w:p>
            <w:pPr>
              <w:ind w:left="380"/>
              <w:spacing w:after="0" w:line="183" w:lineRule="exact"/>
              <w:rPr>
                <w:sz w:val="20"/>
                <w:szCs w:val="20"/>
                <w:color w:val="auto"/>
              </w:rPr>
            </w:pPr>
            <w:r>
              <w:rPr>
                <w:rFonts w:ascii="Arial" w:cs="Arial" w:eastAsia="Arial" w:hAnsi="Arial"/>
                <w:sz w:val="16"/>
                <w:szCs w:val="16"/>
                <w:b w:val="1"/>
                <w:bCs w:val="1"/>
                <w:color w:val="auto"/>
              </w:rPr>
              <w:t>(unaudited)</w:t>
            </w:r>
          </w:p>
        </w:tc>
        <w:tc>
          <w:tcPr>
            <w:tcW w:w="200" w:type="dxa"/>
            <w:vAlign w:val="bottom"/>
          </w:tcPr>
          <w:p>
            <w:pPr>
              <w:spacing w:after="0"/>
              <w:rPr>
                <w:sz w:val="15"/>
                <w:szCs w:val="15"/>
                <w:color w:val="auto"/>
              </w:rPr>
            </w:pPr>
          </w:p>
        </w:tc>
      </w:tr>
      <w:tr>
        <w:trPr>
          <w:trHeight w:val="155"/>
        </w:trPr>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tcPr>
          <w:p>
            <w:pPr>
              <w:spacing w:after="0"/>
              <w:rPr>
                <w:sz w:val="13"/>
                <w:szCs w:val="13"/>
                <w:color w:val="auto"/>
              </w:rPr>
            </w:pPr>
          </w:p>
        </w:tc>
        <w:tc>
          <w:tcPr>
            <w:tcW w:w="22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960" w:type="dxa"/>
            <w:vAlign w:val="bottom"/>
            <w:tcBorders>
              <w:top w:val="single" w:sz="8" w:color="auto"/>
            </w:tcBorders>
            <w:gridSpan w:val="4"/>
          </w:tcPr>
          <w:p>
            <w:pPr>
              <w:ind w:left="640"/>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200" w:type="dxa"/>
            <w:vAlign w:val="bottom"/>
          </w:tcPr>
          <w:p>
            <w:pPr>
              <w:spacing w:after="0"/>
              <w:rPr>
                <w:sz w:val="13"/>
                <w:szCs w:val="13"/>
                <w:color w:val="auto"/>
              </w:rPr>
            </w:pPr>
          </w:p>
        </w:tc>
      </w:tr>
      <w:tr>
        <w:trPr>
          <w:trHeight w:val="203"/>
        </w:trPr>
        <w:tc>
          <w:tcPr>
            <w:tcW w:w="180" w:type="dxa"/>
            <w:vAlign w:val="bottom"/>
          </w:tcPr>
          <w:p>
            <w:pPr>
              <w:spacing w:after="0"/>
              <w:rPr>
                <w:sz w:val="17"/>
                <w:szCs w:val="17"/>
                <w:color w:val="auto"/>
              </w:rPr>
            </w:pPr>
          </w:p>
        </w:tc>
        <w:tc>
          <w:tcPr>
            <w:tcW w:w="2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20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2200" w:type="dxa"/>
            <w:vAlign w:val="bottom"/>
            <w:gridSpan w:val="3"/>
          </w:tcPr>
          <w:p>
            <w:pPr>
              <w:spacing w:after="0" w:line="202" w:lineRule="exact"/>
              <w:rPr>
                <w:sz w:val="20"/>
                <w:szCs w:val="20"/>
                <w:color w:val="auto"/>
              </w:rPr>
            </w:pPr>
            <w:r>
              <w:rPr>
                <w:rFonts w:ascii="Arial" w:cs="Arial" w:eastAsia="Arial" w:hAnsi="Arial"/>
                <w:sz w:val="18"/>
                <w:szCs w:val="18"/>
                <w:color w:val="auto"/>
              </w:rPr>
              <w:t>Net loss</w:t>
            </w:r>
          </w:p>
        </w:tc>
        <w:tc>
          <w:tcPr>
            <w:tcW w:w="20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(43,593)</w:t>
            </w:r>
          </w:p>
        </w:tc>
        <w:tc>
          <w:tcPr>
            <w:tcW w:w="2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2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Pro forma adjustment related to</w:t>
            </w:r>
          </w:p>
        </w:tc>
        <w:tc>
          <w:tcPr>
            <w:tcW w:w="22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tcBorders>
              <w:bottom w:val="single" w:sz="8" w:color="auto"/>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191"/>
        </w:trPr>
        <w:tc>
          <w:tcPr>
            <w:tcW w:w="180" w:type="dxa"/>
            <w:vAlign w:val="bottom"/>
          </w:tcPr>
          <w:p>
            <w:pPr>
              <w:spacing w:after="0"/>
              <w:rPr>
                <w:sz w:val="16"/>
                <w:szCs w:val="16"/>
                <w:color w:val="auto"/>
              </w:rPr>
            </w:pPr>
          </w:p>
        </w:tc>
        <w:tc>
          <w:tcPr>
            <w:tcW w:w="6480" w:type="dxa"/>
            <w:vAlign w:val="bottom"/>
            <w:gridSpan w:val="5"/>
          </w:tcPr>
          <w:p>
            <w:pPr>
              <w:spacing w:after="0" w:line="191" w:lineRule="exact"/>
              <w:rPr>
                <w:sz w:val="20"/>
                <w:szCs w:val="20"/>
                <w:color w:val="auto"/>
              </w:rPr>
            </w:pPr>
            <w:r>
              <w:rPr>
                <w:rFonts w:ascii="Arial" w:cs="Arial" w:eastAsia="Arial" w:hAnsi="Arial"/>
                <w:sz w:val="18"/>
                <w:szCs w:val="18"/>
                <w:color w:val="auto"/>
              </w:rPr>
              <w:t>Pro forma net loss attributable to common stockholders, basic and</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21"/>
        </w:trPr>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diluted</w:t>
            </w:r>
          </w:p>
        </w:tc>
        <w:tc>
          <w:tcPr>
            <w:tcW w:w="20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2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20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6480" w:type="dxa"/>
            <w:vAlign w:val="bottom"/>
            <w:gridSpan w:val="5"/>
          </w:tcPr>
          <w:p>
            <w:pPr>
              <w:spacing w:after="0" w:line="202" w:lineRule="exact"/>
              <w:rPr>
                <w:sz w:val="20"/>
                <w:szCs w:val="20"/>
                <w:color w:val="auto"/>
              </w:rPr>
            </w:pPr>
            <w:r>
              <w:rPr>
                <w:rFonts w:ascii="Arial" w:cs="Arial" w:eastAsia="Arial" w:hAnsi="Arial"/>
                <w:sz w:val="18"/>
                <w:szCs w:val="18"/>
                <w:color w:val="auto"/>
              </w:rPr>
              <w:t>Weighted-average common units outstanding, basic and diluted</w:t>
            </w:r>
          </w:p>
        </w:tc>
        <w:tc>
          <w:tcPr>
            <w:tcW w:w="200" w:type="dxa"/>
            <w:vAlign w:val="bottom"/>
          </w:tcPr>
          <w:p>
            <w:pPr>
              <w:spacing w:after="0"/>
              <w:rPr>
                <w:sz w:val="17"/>
                <w:szCs w:val="17"/>
                <w:color w:val="auto"/>
              </w:rPr>
            </w:pPr>
          </w:p>
        </w:tc>
        <w:tc>
          <w:tcPr>
            <w:tcW w:w="19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5,938,654</w:t>
            </w: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84"/>
        </w:trPr>
        <w:tc>
          <w:tcPr>
            <w:tcW w:w="180" w:type="dxa"/>
            <w:vAlign w:val="bottom"/>
          </w:tcPr>
          <w:p>
            <w:pPr>
              <w:spacing w:after="0"/>
              <w:rPr>
                <w:sz w:val="15"/>
                <w:szCs w:val="15"/>
                <w:color w:val="auto"/>
              </w:rPr>
            </w:pPr>
          </w:p>
        </w:tc>
        <w:tc>
          <w:tcPr>
            <w:tcW w:w="6480" w:type="dxa"/>
            <w:vAlign w:val="bottom"/>
            <w:gridSpan w:val="5"/>
            <w:shd w:val="clear" w:color="auto" w:fill="CCEEFF"/>
          </w:tcPr>
          <w:p>
            <w:pPr>
              <w:spacing w:after="0" w:line="183" w:lineRule="exact"/>
              <w:rPr>
                <w:sz w:val="20"/>
                <w:szCs w:val="20"/>
                <w:color w:val="auto"/>
              </w:rPr>
            </w:pPr>
            <w:r>
              <w:rPr>
                <w:rFonts w:ascii="Arial" w:cs="Arial" w:eastAsia="Arial" w:hAnsi="Arial"/>
                <w:sz w:val="18"/>
                <w:szCs w:val="18"/>
                <w:color w:val="auto"/>
              </w:rPr>
              <w:t>Pro forma adjustment to reflect the issuance of common stock in</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80" w:type="dxa"/>
            <w:vAlign w:val="bottom"/>
            <w:tcBorders>
              <w:right w:val="single" w:sz="8" w:color="CCEEFF"/>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r>
      <w:tr>
        <w:trPr>
          <w:trHeight w:val="203"/>
        </w:trPr>
        <w:tc>
          <w:tcPr>
            <w:tcW w:w="18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exchange for common units in connection with the</w:t>
            </w:r>
          </w:p>
        </w:tc>
        <w:tc>
          <w:tcPr>
            <w:tcW w:w="2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21"/>
        </w:trPr>
        <w:tc>
          <w:tcPr>
            <w:tcW w:w="1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Reorganization(1)</w:t>
            </w:r>
          </w:p>
        </w:tc>
        <w:tc>
          <w:tcPr>
            <w:tcW w:w="20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80" w:type="dxa"/>
            <w:vAlign w:val="bottom"/>
            <w:tcBorders>
              <w:right w:val="single" w:sz="8" w:color="CCEEFF"/>
            </w:tcBorders>
            <w:shd w:val="clear" w:color="auto" w:fill="CCEEFF"/>
          </w:tcPr>
          <w:p>
            <w:pPr>
              <w:spacing w:after="0"/>
              <w:rPr>
                <w:sz w:val="19"/>
                <w:szCs w:val="19"/>
                <w:color w:val="auto"/>
              </w:rPr>
            </w:pPr>
          </w:p>
        </w:tc>
        <w:tc>
          <w:tcPr>
            <w:tcW w:w="200" w:type="dxa"/>
            <w:vAlign w:val="bottom"/>
          </w:tcPr>
          <w:p>
            <w:pPr>
              <w:spacing w:after="0"/>
              <w:rPr>
                <w:sz w:val="19"/>
                <w:szCs w:val="19"/>
                <w:color w:val="auto"/>
              </w:rPr>
            </w:pPr>
          </w:p>
        </w:tc>
      </w:tr>
      <w:tr>
        <w:trPr>
          <w:trHeight w:val="184"/>
        </w:trPr>
        <w:tc>
          <w:tcPr>
            <w:tcW w:w="180" w:type="dxa"/>
            <w:vAlign w:val="bottom"/>
          </w:tcPr>
          <w:p>
            <w:pPr>
              <w:spacing w:after="0"/>
              <w:rPr>
                <w:sz w:val="15"/>
                <w:szCs w:val="15"/>
                <w:color w:val="auto"/>
              </w:rPr>
            </w:pPr>
          </w:p>
        </w:tc>
        <w:tc>
          <w:tcPr>
            <w:tcW w:w="6480" w:type="dxa"/>
            <w:vAlign w:val="bottom"/>
            <w:gridSpan w:val="5"/>
          </w:tcPr>
          <w:p>
            <w:pPr>
              <w:spacing w:after="0" w:line="183" w:lineRule="exact"/>
              <w:rPr>
                <w:sz w:val="20"/>
                <w:szCs w:val="20"/>
                <w:color w:val="auto"/>
              </w:rPr>
            </w:pPr>
            <w:r>
              <w:rPr>
                <w:rFonts w:ascii="Arial" w:cs="Arial" w:eastAsia="Arial" w:hAnsi="Arial"/>
                <w:sz w:val="18"/>
                <w:szCs w:val="18"/>
                <w:color w:val="auto"/>
              </w:rPr>
              <w:t>Pro forma adjustment to reflect the issuance of common stock in</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3"/>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2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exchange for vested profits interests in connection with the</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1"/>
        </w:trPr>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Reorganization(1)</w:t>
            </w:r>
          </w:p>
        </w:tc>
        <w:tc>
          <w:tcPr>
            <w:tcW w:w="20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84"/>
        </w:trPr>
        <w:tc>
          <w:tcPr>
            <w:tcW w:w="180" w:type="dxa"/>
            <w:vAlign w:val="bottom"/>
          </w:tcPr>
          <w:p>
            <w:pPr>
              <w:spacing w:after="0"/>
              <w:rPr>
                <w:sz w:val="15"/>
                <w:szCs w:val="15"/>
                <w:color w:val="auto"/>
              </w:rPr>
            </w:pPr>
          </w:p>
        </w:tc>
        <w:tc>
          <w:tcPr>
            <w:tcW w:w="6480" w:type="dxa"/>
            <w:vAlign w:val="bottom"/>
            <w:gridSpan w:val="5"/>
            <w:shd w:val="clear" w:color="auto" w:fill="CCEEFF"/>
          </w:tcPr>
          <w:p>
            <w:pPr>
              <w:spacing w:after="0" w:line="183" w:lineRule="exact"/>
              <w:rPr>
                <w:sz w:val="20"/>
                <w:szCs w:val="20"/>
                <w:color w:val="auto"/>
              </w:rPr>
            </w:pPr>
            <w:r>
              <w:rPr>
                <w:rFonts w:ascii="Arial" w:cs="Arial" w:eastAsia="Arial" w:hAnsi="Arial"/>
                <w:sz w:val="18"/>
                <w:szCs w:val="18"/>
                <w:color w:val="auto"/>
              </w:rPr>
              <w:t>Pro forma adjustment to reflect the conversion of convertible</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80" w:type="dxa"/>
            <w:vAlign w:val="bottom"/>
            <w:tcBorders>
              <w:right w:val="single" w:sz="8" w:color="CCEEFF"/>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r>
      <w:tr>
        <w:trPr>
          <w:trHeight w:val="203"/>
        </w:trPr>
        <w:tc>
          <w:tcPr>
            <w:tcW w:w="18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32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preferred stock issued in connection with the conversion of the</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32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redeemable convertible preferred units from the Reorganization into</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21"/>
        </w:trPr>
        <w:tc>
          <w:tcPr>
            <w:tcW w:w="1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stock(2)</w:t>
            </w:r>
          </w:p>
        </w:tc>
        <w:tc>
          <w:tcPr>
            <w:tcW w:w="20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80" w:type="dxa"/>
            <w:vAlign w:val="bottom"/>
            <w:tcBorders>
              <w:bottom w:val="single" w:sz="8" w:color="auto"/>
              <w:right w:val="single" w:sz="8" w:color="CCEEFF"/>
            </w:tcBorders>
            <w:shd w:val="clear" w:color="auto" w:fill="CCEEFF"/>
          </w:tcPr>
          <w:p>
            <w:pPr>
              <w:spacing w:after="0"/>
              <w:rPr>
                <w:sz w:val="19"/>
                <w:szCs w:val="19"/>
                <w:color w:val="auto"/>
              </w:rPr>
            </w:pPr>
          </w:p>
        </w:tc>
        <w:tc>
          <w:tcPr>
            <w:tcW w:w="200" w:type="dxa"/>
            <w:vAlign w:val="bottom"/>
          </w:tcPr>
          <w:p>
            <w:pPr>
              <w:spacing w:after="0"/>
              <w:rPr>
                <w:sz w:val="19"/>
                <w:szCs w:val="19"/>
                <w:color w:val="auto"/>
              </w:rPr>
            </w:pPr>
          </w:p>
        </w:tc>
      </w:tr>
      <w:tr>
        <w:trPr>
          <w:trHeight w:val="191"/>
        </w:trPr>
        <w:tc>
          <w:tcPr>
            <w:tcW w:w="180" w:type="dxa"/>
            <w:vAlign w:val="bottom"/>
          </w:tcPr>
          <w:p>
            <w:pPr>
              <w:spacing w:after="0"/>
              <w:rPr>
                <w:sz w:val="16"/>
                <w:szCs w:val="16"/>
                <w:color w:val="auto"/>
              </w:rPr>
            </w:pPr>
          </w:p>
        </w:tc>
        <w:tc>
          <w:tcPr>
            <w:tcW w:w="6480" w:type="dxa"/>
            <w:vAlign w:val="bottom"/>
            <w:gridSpan w:val="5"/>
          </w:tcPr>
          <w:p>
            <w:pPr>
              <w:spacing w:after="0" w:line="191" w:lineRule="exact"/>
              <w:rPr>
                <w:sz w:val="20"/>
                <w:szCs w:val="20"/>
                <w:color w:val="auto"/>
              </w:rPr>
            </w:pPr>
            <w:r>
              <w:rPr>
                <w:rFonts w:ascii="Arial" w:cs="Arial" w:eastAsia="Arial" w:hAnsi="Arial"/>
                <w:sz w:val="18"/>
                <w:szCs w:val="18"/>
                <w:color w:val="auto"/>
              </w:rPr>
              <w:t>Pro forma weighted-average common shares outstanding, basic and</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21"/>
        </w:trPr>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diluted (unaudited)</w:t>
            </w:r>
          </w:p>
        </w:tc>
        <w:tc>
          <w:tcPr>
            <w:tcW w:w="20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8"/>
        </w:trPr>
        <w:tc>
          <w:tcPr>
            <w:tcW w:w="180" w:type="dxa"/>
            <w:vAlign w:val="bottom"/>
          </w:tcPr>
          <w:p>
            <w:pPr>
              <w:spacing w:after="0"/>
              <w:rPr>
                <w:sz w:val="15"/>
                <w:szCs w:val="15"/>
                <w:color w:val="auto"/>
              </w:rPr>
            </w:pPr>
          </w:p>
        </w:tc>
        <w:tc>
          <w:tcPr>
            <w:tcW w:w="6480" w:type="dxa"/>
            <w:vAlign w:val="bottom"/>
            <w:gridSpan w:val="5"/>
            <w:shd w:val="clear" w:color="auto" w:fill="CCEEFF"/>
          </w:tcPr>
          <w:p>
            <w:pPr>
              <w:spacing w:after="0" w:line="177" w:lineRule="exact"/>
              <w:rPr>
                <w:sz w:val="20"/>
                <w:szCs w:val="20"/>
                <w:color w:val="auto"/>
              </w:rPr>
            </w:pPr>
            <w:r>
              <w:rPr>
                <w:rFonts w:ascii="Arial" w:cs="Arial" w:eastAsia="Arial" w:hAnsi="Arial"/>
                <w:sz w:val="18"/>
                <w:szCs w:val="18"/>
                <w:color w:val="auto"/>
              </w:rPr>
              <w:t>Pro forma net loss per share attributable to common stockholders,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80" w:type="dxa"/>
            <w:vAlign w:val="bottom"/>
            <w:tcBorders>
              <w:right w:val="single" w:sz="8" w:color="CCEEFF"/>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r>
      <w:tr>
        <w:trPr>
          <w:trHeight w:val="221"/>
        </w:trPr>
        <w:tc>
          <w:tcPr>
            <w:tcW w:w="1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basic and diluted (unaudited)</w:t>
            </w:r>
          </w:p>
        </w:tc>
        <w:tc>
          <w:tcPr>
            <w:tcW w:w="2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8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0"/>
        </w:trPr>
        <w:tc>
          <w:tcPr>
            <w:tcW w:w="3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r>
      <w:tr>
        <w:trPr>
          <w:trHeight w:val="143"/>
        </w:trPr>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1880" w:type="dxa"/>
            <w:vAlign w:val="bottom"/>
            <w:gridSpan w:val="2"/>
          </w:tcPr>
          <w:p>
            <w:pPr>
              <w:spacing w:after="0"/>
              <w:rPr>
                <w:sz w:val="12"/>
                <w:szCs w:val="12"/>
                <w:color w:val="auto"/>
              </w:rPr>
            </w:pPr>
          </w:p>
        </w:tc>
      </w:tr>
      <w:tr>
        <w:trPr>
          <w:trHeight w:val="170"/>
        </w:trPr>
        <w:tc>
          <w:tcPr>
            <w:tcW w:w="340" w:type="dxa"/>
            <w:vAlign w:val="bottom"/>
            <w:gridSpan w:val="2"/>
          </w:tcPr>
          <w:p>
            <w:pPr>
              <w:ind w:left="180"/>
              <w:spacing w:after="0"/>
              <w:rPr>
                <w:sz w:val="20"/>
                <w:szCs w:val="20"/>
                <w:color w:val="auto"/>
              </w:rPr>
            </w:pPr>
            <w:r>
              <w:rPr>
                <w:rFonts w:ascii="Arial" w:cs="Arial" w:eastAsia="Arial" w:hAnsi="Arial"/>
                <w:sz w:val="13"/>
                <w:szCs w:val="13"/>
                <w:color w:val="auto"/>
                <w:w w:val="87"/>
              </w:rPr>
              <w:t>(1)</w:t>
            </w:r>
          </w:p>
        </w:tc>
        <w:tc>
          <w:tcPr>
            <w:tcW w:w="2040" w:type="dxa"/>
            <w:vAlign w:val="bottom"/>
            <w:gridSpan w:val="2"/>
          </w:tcPr>
          <w:p>
            <w:pPr>
              <w:ind w:left="140"/>
              <w:spacing w:after="0"/>
              <w:rPr>
                <w:sz w:val="20"/>
                <w:szCs w:val="20"/>
                <w:color w:val="auto"/>
              </w:rPr>
            </w:pPr>
            <w:r>
              <w:rPr>
                <w:rFonts w:ascii="Arial" w:cs="Arial" w:eastAsia="Arial" w:hAnsi="Arial"/>
                <w:sz w:val="13"/>
                <w:szCs w:val="13"/>
                <w:color w:val="auto"/>
              </w:rPr>
              <w:t>Reflects the exchange of (i)</w:t>
            </w:r>
          </w:p>
        </w:tc>
        <w:tc>
          <w:tcPr>
            <w:tcW w:w="2000" w:type="dxa"/>
            <w:vAlign w:val="bottom"/>
          </w:tcPr>
          <w:p>
            <w:pPr>
              <w:ind w:left="380"/>
              <w:spacing w:after="0"/>
              <w:rPr>
                <w:sz w:val="20"/>
                <w:szCs w:val="20"/>
                <w:color w:val="auto"/>
              </w:rPr>
            </w:pPr>
            <w:r>
              <w:rPr>
                <w:rFonts w:ascii="Arial" w:cs="Arial" w:eastAsia="Arial" w:hAnsi="Arial"/>
                <w:sz w:val="13"/>
                <w:szCs w:val="13"/>
                <w:color w:val="auto"/>
              </w:rPr>
              <w:t>common units for</w:t>
            </w:r>
          </w:p>
        </w:tc>
        <w:tc>
          <w:tcPr>
            <w:tcW w:w="2280" w:type="dxa"/>
            <w:vAlign w:val="bottom"/>
          </w:tcPr>
          <w:p>
            <w:pPr>
              <w:jc w:val="center"/>
              <w:spacing w:after="0"/>
              <w:rPr>
                <w:sz w:val="20"/>
                <w:szCs w:val="20"/>
                <w:color w:val="auto"/>
              </w:rPr>
            </w:pPr>
            <w:r>
              <w:rPr>
                <w:rFonts w:ascii="Arial" w:cs="Arial" w:eastAsia="Arial" w:hAnsi="Arial"/>
                <w:sz w:val="13"/>
                <w:szCs w:val="13"/>
                <w:color w:val="auto"/>
              </w:rPr>
              <w:t>shares of our common stock and (ii)</w:t>
            </w:r>
          </w:p>
        </w:tc>
        <w:tc>
          <w:tcPr>
            <w:tcW w:w="200" w:type="dxa"/>
            <w:vAlign w:val="bottom"/>
          </w:tcPr>
          <w:p>
            <w:pPr>
              <w:spacing w:after="0"/>
              <w:rPr>
                <w:sz w:val="14"/>
                <w:szCs w:val="14"/>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3"/>
                <w:szCs w:val="13"/>
                <w:color w:val="auto"/>
              </w:rPr>
              <w:t>vested profits interests for</w:t>
            </w:r>
          </w:p>
        </w:tc>
        <w:tc>
          <w:tcPr>
            <w:tcW w:w="360" w:type="dxa"/>
            <w:vAlign w:val="bottom"/>
          </w:tcPr>
          <w:p>
            <w:pPr>
              <w:spacing w:after="0"/>
              <w:rPr>
                <w:sz w:val="14"/>
                <w:szCs w:val="14"/>
                <w:color w:val="auto"/>
              </w:rPr>
            </w:pPr>
          </w:p>
        </w:tc>
        <w:tc>
          <w:tcPr>
            <w:tcW w:w="1880" w:type="dxa"/>
            <w:vAlign w:val="bottom"/>
            <w:gridSpan w:val="2"/>
          </w:tcPr>
          <w:p>
            <w:pPr>
              <w:ind w:left="260"/>
              <w:spacing w:after="0"/>
              <w:rPr>
                <w:sz w:val="20"/>
                <w:szCs w:val="20"/>
                <w:color w:val="auto"/>
              </w:rPr>
            </w:pPr>
            <w:r>
              <w:rPr>
                <w:rFonts w:ascii="Arial" w:cs="Arial" w:eastAsia="Arial" w:hAnsi="Arial"/>
                <w:sz w:val="13"/>
                <w:szCs w:val="13"/>
                <w:color w:val="auto"/>
              </w:rPr>
              <w:t>shares of our common</w:t>
            </w:r>
          </w:p>
        </w:tc>
      </w:tr>
      <w:tr>
        <w:trPr>
          <w:trHeight w:val="148"/>
        </w:trPr>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320" w:type="dxa"/>
            <w:vAlign w:val="bottom"/>
            <w:gridSpan w:val="4"/>
          </w:tcPr>
          <w:p>
            <w:pPr>
              <w:ind w:left="140"/>
              <w:spacing w:after="0"/>
              <w:rPr>
                <w:sz w:val="20"/>
                <w:szCs w:val="20"/>
                <w:color w:val="auto"/>
              </w:rPr>
            </w:pPr>
            <w:r>
              <w:rPr>
                <w:rFonts w:ascii="Arial" w:cs="Arial" w:eastAsia="Arial" w:hAnsi="Arial"/>
                <w:sz w:val="13"/>
                <w:szCs w:val="13"/>
                <w:color w:val="auto"/>
              </w:rPr>
              <w:t>stock in connection with the Reorganization, as if such exchange had occurred on January 1, 2022.</w:t>
            </w: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340" w:type="dxa"/>
            <w:vAlign w:val="bottom"/>
            <w:gridSpan w:val="2"/>
          </w:tcPr>
          <w:p>
            <w:pPr>
              <w:ind w:left="180"/>
              <w:spacing w:after="0"/>
              <w:rPr>
                <w:sz w:val="20"/>
                <w:szCs w:val="20"/>
                <w:color w:val="auto"/>
              </w:rPr>
            </w:pPr>
            <w:r>
              <w:rPr>
                <w:rFonts w:ascii="Arial" w:cs="Arial" w:eastAsia="Arial" w:hAnsi="Arial"/>
                <w:sz w:val="13"/>
                <w:szCs w:val="13"/>
                <w:color w:val="auto"/>
                <w:w w:val="87"/>
              </w:rPr>
              <w:t>(2)</w:t>
            </w:r>
          </w:p>
        </w:tc>
        <w:tc>
          <w:tcPr>
            <w:tcW w:w="2040" w:type="dxa"/>
            <w:vAlign w:val="bottom"/>
            <w:gridSpan w:val="2"/>
          </w:tcPr>
          <w:p>
            <w:pPr>
              <w:ind w:left="140"/>
              <w:spacing w:after="0"/>
              <w:rPr>
                <w:sz w:val="20"/>
                <w:szCs w:val="20"/>
                <w:color w:val="auto"/>
              </w:rPr>
            </w:pPr>
            <w:r>
              <w:rPr>
                <w:rFonts w:ascii="Arial" w:cs="Arial" w:eastAsia="Arial" w:hAnsi="Arial"/>
                <w:sz w:val="13"/>
                <w:szCs w:val="13"/>
                <w:color w:val="auto"/>
              </w:rPr>
              <w:t>Reflects the conversion of</w:t>
            </w:r>
          </w:p>
        </w:tc>
        <w:tc>
          <w:tcPr>
            <w:tcW w:w="6400" w:type="dxa"/>
            <w:vAlign w:val="bottom"/>
            <w:gridSpan w:val="5"/>
          </w:tcPr>
          <w:p>
            <w:pPr>
              <w:jc w:val="right"/>
              <w:ind w:right="600"/>
              <w:spacing w:after="0"/>
              <w:rPr>
                <w:sz w:val="20"/>
                <w:szCs w:val="20"/>
                <w:color w:val="auto"/>
              </w:rPr>
            </w:pPr>
            <w:r>
              <w:rPr>
                <w:rFonts w:ascii="Arial" w:cs="Arial" w:eastAsia="Arial" w:hAnsi="Arial"/>
                <w:sz w:val="13"/>
                <w:szCs w:val="13"/>
                <w:color w:val="auto"/>
              </w:rPr>
              <w:t>shares of convertible preferred stock outstanding issued in connection with the conversion of</w:t>
            </w:r>
          </w:p>
        </w:tc>
        <w:tc>
          <w:tcPr>
            <w:tcW w:w="2240" w:type="dxa"/>
            <w:vAlign w:val="bottom"/>
            <w:gridSpan w:val="3"/>
          </w:tcPr>
          <w:p>
            <w:pPr>
              <w:ind w:left="40"/>
              <w:spacing w:after="0"/>
              <w:rPr>
                <w:sz w:val="20"/>
                <w:szCs w:val="20"/>
                <w:color w:val="auto"/>
              </w:rPr>
            </w:pPr>
            <w:r>
              <w:rPr>
                <w:rFonts w:ascii="Arial" w:cs="Arial" w:eastAsia="Arial" w:hAnsi="Arial"/>
                <w:sz w:val="13"/>
                <w:szCs w:val="13"/>
                <w:color w:val="auto"/>
              </w:rPr>
              <w:t>redeemable convertible preferred</w:t>
            </w:r>
          </w:p>
        </w:tc>
      </w:tr>
      <w:tr>
        <w:trPr>
          <w:trHeight w:val="176"/>
        </w:trPr>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80" w:type="dxa"/>
            <w:vAlign w:val="bottom"/>
            <w:gridSpan w:val="10"/>
          </w:tcPr>
          <w:p>
            <w:pPr>
              <w:ind w:left="140"/>
              <w:spacing w:after="0"/>
              <w:rPr>
                <w:sz w:val="20"/>
                <w:szCs w:val="20"/>
                <w:color w:val="auto"/>
              </w:rPr>
            </w:pPr>
            <w:r>
              <w:rPr>
                <w:rFonts w:ascii="Arial" w:cs="Arial" w:eastAsia="Arial" w:hAnsi="Arial"/>
                <w:sz w:val="13"/>
                <w:szCs w:val="13"/>
                <w:color w:val="auto"/>
              </w:rPr>
              <w:t>units from the Reorganization into an equivalent number of shares of our common stock, as if such conversion had occurred on January 1, 2022.</w:t>
            </w:r>
          </w:p>
        </w:tc>
      </w:tr>
      <w:tr>
        <w:trPr>
          <w:trHeight w:val="144"/>
        </w:trPr>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r>
      <w:tr>
        <w:trPr>
          <w:trHeight w:val="365"/>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80" w:type="dxa"/>
            <w:vAlign w:val="bottom"/>
          </w:tcPr>
          <w:p>
            <w:pPr>
              <w:jc w:val="right"/>
              <w:ind w:right="981"/>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547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454723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11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center"/>
              <w:ind w:left="315"/>
              <w:spacing w:after="0"/>
              <w:rPr>
                <w:sz w:val="20"/>
                <w:szCs w:val="20"/>
                <w:color w:val="auto"/>
              </w:rPr>
            </w:pPr>
            <w:r>
              <w:rPr>
                <w:rFonts w:ascii="Arial" w:cs="Arial" w:eastAsia="Arial" w:hAnsi="Arial"/>
                <w:sz w:val="16"/>
                <w:szCs w:val="16"/>
                <w:b w:val="1"/>
                <w:bCs w:val="1"/>
                <w:color w:val="auto"/>
              </w:rPr>
              <w:t>As of March 31, 2023</w:t>
            </w:r>
          </w:p>
        </w:tc>
        <w:tc>
          <w:tcPr>
            <w:tcW w:w="11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68"/>
        </w:trPr>
        <w:tc>
          <w:tcPr>
            <w:tcW w:w="11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ind w:left="180"/>
              <w:spacing w:after="0" w:line="168" w:lineRule="exact"/>
              <w:rPr>
                <w:sz w:val="20"/>
                <w:szCs w:val="20"/>
                <w:color w:val="auto"/>
              </w:rPr>
            </w:pPr>
            <w:r>
              <w:rPr>
                <w:rFonts w:ascii="Arial" w:cs="Arial" w:eastAsia="Arial" w:hAnsi="Arial"/>
                <w:sz w:val="16"/>
                <w:szCs w:val="16"/>
                <w:b w:val="1"/>
                <w:bCs w:val="1"/>
                <w:color w:val="auto"/>
              </w:rPr>
              <w:t>Pro Forma</w:t>
            </w:r>
          </w:p>
        </w:tc>
        <w:tc>
          <w:tcPr>
            <w:tcW w:w="60" w:type="dxa"/>
            <w:vAlign w:val="bottom"/>
          </w:tcPr>
          <w:p>
            <w:pPr>
              <w:spacing w:after="0"/>
              <w:rPr>
                <w:sz w:val="14"/>
                <w:szCs w:val="14"/>
                <w:color w:val="auto"/>
              </w:rPr>
            </w:pPr>
          </w:p>
        </w:tc>
      </w:tr>
      <w:tr>
        <w:trPr>
          <w:trHeight w:val="203"/>
        </w:trPr>
        <w:tc>
          <w:tcPr>
            <w:tcW w:w="1160" w:type="dxa"/>
            <w:vAlign w:val="bottom"/>
            <w:tcBorders>
              <w:bottom w:val="single" w:sz="8" w:color="auto"/>
            </w:tcBorders>
          </w:tcPr>
          <w:p>
            <w:pPr>
              <w:spacing w:after="0"/>
              <w:rPr>
                <w:sz w:val="17"/>
                <w:szCs w:val="17"/>
                <w:color w:val="auto"/>
              </w:rPr>
            </w:pPr>
          </w:p>
        </w:tc>
        <w:tc>
          <w:tcPr>
            <w:tcW w:w="5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Actual</w:t>
            </w:r>
          </w:p>
        </w:tc>
        <w:tc>
          <w:tcPr>
            <w:tcW w:w="5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Pro Forma(1)</w:t>
            </w: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As Adjusted(2)</w:t>
            </w:r>
          </w:p>
        </w:tc>
      </w:tr>
      <w:tr>
        <w:trPr>
          <w:trHeight w:val="190"/>
        </w:trPr>
        <w:tc>
          <w:tcPr>
            <w:tcW w:w="116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3"/>
        </w:trPr>
        <w:tc>
          <w:tcPr>
            <w:tcW w:w="11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6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Condensed Consolidated Balance Sheet Data:</w:t>
            </w: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640" w:type="dxa"/>
            <w:vAlign w:val="bottom"/>
            <w:gridSpan w:val="3"/>
          </w:tcPr>
          <w:p>
            <w:pPr>
              <w:spacing w:after="0" w:line="202" w:lineRule="exact"/>
              <w:rPr>
                <w:sz w:val="20"/>
                <w:szCs w:val="20"/>
                <w:color w:val="auto"/>
              </w:rPr>
            </w:pPr>
            <w:r>
              <w:rPr>
                <w:rFonts w:ascii="Arial" w:cs="Arial" w:eastAsia="Arial" w:hAnsi="Arial"/>
                <w:sz w:val="18"/>
                <w:szCs w:val="18"/>
                <w:color w:val="auto"/>
              </w:rPr>
              <w:t>Cash and cash equivalents</w:t>
            </w:r>
          </w:p>
        </w:tc>
        <w:tc>
          <w:tcPr>
            <w:tcW w:w="760" w:type="dxa"/>
            <w:vAlign w:val="bottom"/>
          </w:tcPr>
          <w:p>
            <w:pPr>
              <w:jc w:val="right"/>
              <w:ind w:right="581"/>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6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Available-for-sale marketable securities</w:t>
            </w: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640" w:type="dxa"/>
            <w:vAlign w:val="bottom"/>
            <w:gridSpan w:val="3"/>
          </w:tcPr>
          <w:p>
            <w:pPr>
              <w:spacing w:after="0" w:line="202" w:lineRule="exact"/>
              <w:rPr>
                <w:sz w:val="20"/>
                <w:szCs w:val="20"/>
                <w:color w:val="auto"/>
              </w:rPr>
            </w:pPr>
            <w:r>
              <w:rPr>
                <w:rFonts w:ascii="Arial" w:cs="Arial" w:eastAsia="Arial" w:hAnsi="Arial"/>
                <w:sz w:val="18"/>
                <w:szCs w:val="18"/>
                <w:color w:val="auto"/>
              </w:rPr>
              <w:t>Working capital(3)</w:t>
            </w: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6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640" w:type="dxa"/>
            <w:vAlign w:val="bottom"/>
            <w:gridSpan w:val="3"/>
          </w:tcPr>
          <w:p>
            <w:pPr>
              <w:spacing w:after="0" w:line="202" w:lineRule="exact"/>
              <w:rPr>
                <w:sz w:val="20"/>
                <w:szCs w:val="20"/>
                <w:color w:val="auto"/>
              </w:rPr>
            </w:pPr>
            <w:r>
              <w:rPr>
                <w:rFonts w:ascii="Arial" w:cs="Arial" w:eastAsia="Arial" w:hAnsi="Arial"/>
                <w:sz w:val="18"/>
                <w:szCs w:val="18"/>
                <w:color w:val="auto"/>
              </w:rPr>
              <w:t>Total liabilities</w:t>
            </w: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6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units</w:t>
            </w: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640" w:type="dxa"/>
            <w:vAlign w:val="bottom"/>
            <w:gridSpan w:val="3"/>
          </w:tcPr>
          <w:p>
            <w:pPr>
              <w:spacing w:after="0" w:line="202" w:lineRule="exact"/>
              <w:rPr>
                <w:sz w:val="20"/>
                <w:szCs w:val="20"/>
                <w:color w:val="auto"/>
              </w:rPr>
            </w:pPr>
            <w:r>
              <w:rPr>
                <w:rFonts w:ascii="Arial" w:cs="Arial" w:eastAsia="Arial" w:hAnsi="Arial"/>
                <w:sz w:val="18"/>
                <w:szCs w:val="18"/>
                <w:color w:val="auto"/>
              </w:rPr>
              <w:t>Convertible preferred stock</w:t>
            </w: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6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618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Total members’/shareholders equity (deficit)</w:t>
            </w:r>
          </w:p>
        </w:tc>
        <w:tc>
          <w:tcPr>
            <w:tcW w:w="4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135"/>
        </w:trPr>
        <w:tc>
          <w:tcPr>
            <w:tcW w:w="1160" w:type="dxa"/>
            <w:vAlign w:val="bottom"/>
            <w:tcBorders>
              <w:bottom w:val="single" w:sz="8" w:color="auto"/>
            </w:tcBorders>
          </w:tcPr>
          <w:p>
            <w:pPr>
              <w:spacing w:after="0"/>
              <w:rPr>
                <w:sz w:val="11"/>
                <w:szCs w:val="11"/>
                <w:color w:val="auto"/>
              </w:rPr>
            </w:pPr>
          </w:p>
        </w:tc>
        <w:tc>
          <w:tcPr>
            <w:tcW w:w="5480" w:type="dxa"/>
            <w:vAlign w:val="bottom"/>
            <w:gridSpan w:val="2"/>
          </w:tcPr>
          <w:p>
            <w:pPr>
              <w:spacing w:after="0"/>
              <w:rPr>
                <w:sz w:val="11"/>
                <w:szCs w:val="11"/>
                <w:color w:val="auto"/>
              </w:rPr>
            </w:pPr>
          </w:p>
        </w:tc>
        <w:tc>
          <w:tcPr>
            <w:tcW w:w="4000" w:type="dxa"/>
            <w:vAlign w:val="bottom"/>
            <w:gridSpan w:val="6"/>
          </w:tcPr>
          <w:p>
            <w:pPr>
              <w:spacing w:after="0"/>
              <w:rPr>
                <w:sz w:val="11"/>
                <w:szCs w:val="11"/>
                <w:color w:val="auto"/>
              </w:rPr>
            </w:pPr>
          </w:p>
        </w:tc>
      </w:tr>
      <w:tr>
        <w:trPr>
          <w:trHeight w:val="182"/>
        </w:trPr>
        <w:tc>
          <w:tcPr>
            <w:tcW w:w="6640" w:type="dxa"/>
            <w:vAlign w:val="bottom"/>
            <w:gridSpan w:val="3"/>
          </w:tcPr>
          <w:p>
            <w:pPr>
              <w:spacing w:after="0"/>
              <w:rPr>
                <w:sz w:val="20"/>
                <w:szCs w:val="20"/>
                <w:color w:val="auto"/>
              </w:rPr>
            </w:pPr>
            <w:r>
              <w:rPr>
                <w:rFonts w:ascii="Arial" w:cs="Arial" w:eastAsia="Arial" w:hAnsi="Arial"/>
                <w:sz w:val="13"/>
                <w:szCs w:val="13"/>
                <w:color w:val="auto"/>
              </w:rPr>
              <w:t>(1)  The consolidated pro forma balance sheet data gives effect to (i) the Reorganization, (ii) the conversion of</w:t>
            </w:r>
          </w:p>
        </w:tc>
        <w:tc>
          <w:tcPr>
            <w:tcW w:w="4000" w:type="dxa"/>
            <w:vAlign w:val="bottom"/>
            <w:gridSpan w:val="6"/>
          </w:tcPr>
          <w:p>
            <w:pPr>
              <w:ind w:left="340"/>
              <w:spacing w:after="0"/>
              <w:rPr>
                <w:sz w:val="20"/>
                <w:szCs w:val="20"/>
                <w:color w:val="auto"/>
              </w:rPr>
            </w:pPr>
            <w:r>
              <w:rPr>
                <w:rFonts w:ascii="Arial" w:cs="Arial" w:eastAsia="Arial" w:hAnsi="Arial"/>
                <w:sz w:val="13"/>
                <w:szCs w:val="13"/>
                <w:color w:val="auto"/>
              </w:rPr>
              <w:t>shares of our convertible preferred stock outstanding as of</w:t>
            </w:r>
          </w:p>
        </w:tc>
      </w:tr>
    </w:tbl>
    <w:p>
      <w:pPr>
        <w:ind w:left="600"/>
        <w:spacing w:after="0"/>
        <w:rPr>
          <w:sz w:val="20"/>
          <w:szCs w:val="20"/>
          <w:color w:val="auto"/>
        </w:rPr>
      </w:pPr>
      <w:r>
        <w:rPr>
          <w:rFonts w:ascii="Arial" w:cs="Arial" w:eastAsia="Arial" w:hAnsi="Arial"/>
          <w:sz w:val="13"/>
          <w:szCs w:val="13"/>
          <w:color w:val="auto"/>
        </w:rPr>
        <w:t>March 31, 2023 into an equivalent number of shares of our common stock, which will occur immediately prior to the closing of this offering, and (iii) the filing and effectiveness</w:t>
      </w:r>
    </w:p>
    <w:p>
      <w:pPr>
        <w:ind w:left="600"/>
        <w:spacing w:after="0"/>
        <w:rPr>
          <w:sz w:val="20"/>
          <w:szCs w:val="20"/>
          <w:color w:val="auto"/>
        </w:rPr>
      </w:pPr>
      <w:r>
        <w:rPr>
          <w:rFonts w:ascii="Arial" w:cs="Arial" w:eastAsia="Arial" w:hAnsi="Arial"/>
          <w:sz w:val="13"/>
          <w:szCs w:val="13"/>
          <w:color w:val="auto"/>
        </w:rPr>
        <w:t>of our amended and restated certificate of incorporation upon the closing of this offering.</w:t>
      </w:r>
    </w:p>
    <w:p>
      <w:pPr>
        <w:ind w:left="300"/>
        <w:spacing w:after="0"/>
        <w:tabs>
          <w:tab w:leader="none" w:pos="580" w:val="left"/>
          <w:tab w:leader="none" w:pos="10500" w:val="left"/>
        </w:tabs>
        <w:rPr>
          <w:sz w:val="20"/>
          <w:szCs w:val="20"/>
          <w:color w:val="auto"/>
        </w:rPr>
      </w:pPr>
      <w:r>
        <w:rPr>
          <w:rFonts w:ascii="Arial" w:cs="Arial" w:eastAsia="Arial" w:hAnsi="Arial"/>
          <w:sz w:val="13"/>
          <w:szCs w:val="13"/>
          <w:color w:val="auto"/>
        </w:rPr>
        <w:t>(2)</w:t>
        <w:tab/>
        <w:t>The pro forma as adjusted consolidated balance sheet data gives effect to the pro forma adjustments set forth in footnote (1) above and our issuance and sale of</w:t>
      </w:r>
      <w:r>
        <w:rPr>
          <w:sz w:val="20"/>
          <w:szCs w:val="20"/>
          <w:color w:val="auto"/>
        </w:rPr>
        <w:tab/>
      </w:r>
      <w:r>
        <w:rPr>
          <w:rFonts w:ascii="Arial" w:cs="Arial" w:eastAsia="Arial" w:hAnsi="Arial"/>
          <w:sz w:val="13"/>
          <w:szCs w:val="13"/>
          <w:color w:val="auto"/>
        </w:rPr>
        <w:t>shares</w:t>
      </w:r>
    </w:p>
    <w:p>
      <w:pPr>
        <w:ind w:left="600"/>
        <w:spacing w:after="0"/>
        <w:tabs>
          <w:tab w:leader="none" w:pos="6220" w:val="left"/>
        </w:tabs>
        <w:rPr>
          <w:sz w:val="20"/>
          <w:szCs w:val="20"/>
          <w:color w:val="auto"/>
        </w:rPr>
      </w:pPr>
      <w:r>
        <w:rPr>
          <w:rFonts w:ascii="Arial" w:cs="Arial" w:eastAsia="Arial" w:hAnsi="Arial"/>
          <w:sz w:val="13"/>
          <w:szCs w:val="13"/>
          <w:color w:val="auto"/>
        </w:rPr>
        <w:t>of our common stock offered in this offering at an assumed initial public offering price of $</w:t>
      </w:r>
      <w:r>
        <w:rPr>
          <w:sz w:val="20"/>
          <w:szCs w:val="20"/>
          <w:color w:val="auto"/>
        </w:rPr>
        <w:tab/>
      </w:r>
      <w:r>
        <w:rPr>
          <w:rFonts w:ascii="Arial" w:cs="Arial" w:eastAsia="Arial" w:hAnsi="Arial"/>
          <w:sz w:val="13"/>
          <w:szCs w:val="13"/>
          <w:color w:val="auto"/>
        </w:rPr>
        <w:t>per share, which is the estimated midpoint of the price range set forth on the</w:t>
      </w:r>
    </w:p>
    <w:p>
      <w:pPr>
        <w:jc w:val="both"/>
        <w:ind w:left="600" w:right="20"/>
        <w:spacing w:after="0" w:line="238" w:lineRule="auto"/>
        <w:rPr>
          <w:sz w:val="20"/>
          <w:szCs w:val="20"/>
          <w:color w:val="auto"/>
        </w:rPr>
      </w:pPr>
      <w:r>
        <w:rPr>
          <w:rFonts w:ascii="Arial" w:cs="Arial" w:eastAsia="Arial" w:hAnsi="Arial"/>
          <w:sz w:val="13"/>
          <w:szCs w:val="13"/>
          <w:color w:val="auto"/>
        </w:rPr>
        <w:t>cover page of this prospectus, after deducting estimated underwriting discounts and commissions and estimated offering expenses payable by us. The pro forma as adjusted information set forth in the table above is illustrative only and will be adjusted based on the actual initial public offering price and other terms of this offering as determined at pricing.</w:t>
      </w:r>
    </w:p>
    <w:p>
      <w:pPr>
        <w:spacing w:after="0" w:line="1" w:lineRule="exact"/>
        <w:rPr>
          <w:sz w:val="20"/>
          <w:szCs w:val="20"/>
          <w:color w:val="auto"/>
        </w:rPr>
      </w:pPr>
    </w:p>
    <w:p>
      <w:pPr>
        <w:ind w:left="600" w:right="560" w:hanging="306"/>
        <w:spacing w:after="0" w:line="261" w:lineRule="auto"/>
        <w:tabs>
          <w:tab w:leader="none" w:pos="6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 See our consolidated financial statements included elsewhere in this prospectus for further details regarding our current assets and current liabilities.</w:t>
      </w:r>
    </w:p>
    <w:p>
      <w:pPr>
        <w:spacing w:after="0" w:line="102" w:lineRule="exact"/>
        <w:rPr>
          <w:sz w:val="20"/>
          <w:szCs w:val="20"/>
          <w:color w:val="auto"/>
        </w:rPr>
      </w:pPr>
    </w:p>
    <w:p>
      <w:pPr>
        <w:ind w:left="300"/>
        <w:spacing w:after="0" w:line="241" w:lineRule="auto"/>
        <w:rPr>
          <w:sz w:val="20"/>
          <w:szCs w:val="20"/>
          <w:color w:val="auto"/>
        </w:rPr>
      </w:pPr>
      <w:r>
        <w:rPr>
          <w:rFonts w:ascii="Arial" w:cs="Arial" w:eastAsia="Arial" w:hAnsi="Arial"/>
          <w:sz w:val="18"/>
          <w:szCs w:val="18"/>
          <w:color w:val="auto"/>
        </w:rPr>
        <w:t>Each $1.00 increase or decrease in the assumed initial public offering price of $ per share, which is the estimated midpoint of the price range set forth on the cover page of this prospectus, would increase or decrease, as applicable, the pro forma as adjusted amount of each of our cash and cash equivalents, working capital, total assets, and total members’/shareholders’ equity (deficit) by</w:t>
      </w:r>
    </w:p>
    <w:p>
      <w:pPr>
        <w:spacing w:after="0" w:line="2" w:lineRule="exact"/>
        <w:rPr>
          <w:sz w:val="20"/>
          <w:szCs w:val="20"/>
          <w:color w:val="auto"/>
        </w:rPr>
      </w:pPr>
    </w:p>
    <w:p>
      <w:pPr>
        <w:ind w:left="300" w:right="60" w:hanging="6"/>
        <w:spacing w:after="0" w:line="234" w:lineRule="auto"/>
        <w:tabs>
          <w:tab w:leader="none" w:pos="8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million, assuming that the number of shares offered by us, as set forth on the cover page of this prospectus, remains the same and after deducting estimated underwriting discounts and commissions and estimated offering expenses payable by us. Similarly, each increase or decrease of 1,000,000 shares in the number of shares offered by us as set forth on the cover page of this prospectus, would increase or decrease, as applicable, the pro forma as adjusted amount of each of cash and cash equivalents,</w:t>
      </w:r>
    </w:p>
    <w:p>
      <w:pPr>
        <w:spacing w:after="0" w:line="3" w:lineRule="exact"/>
        <w:rPr>
          <w:sz w:val="20"/>
          <w:szCs w:val="20"/>
          <w:color w:val="auto"/>
        </w:rPr>
      </w:pPr>
    </w:p>
    <w:p>
      <w:pPr>
        <w:ind w:left="300" w:right="140"/>
        <w:spacing w:after="0" w:line="242" w:lineRule="auto"/>
        <w:rPr>
          <w:sz w:val="20"/>
          <w:szCs w:val="20"/>
          <w:color w:val="auto"/>
        </w:rPr>
      </w:pPr>
      <w:r>
        <w:rPr>
          <w:rFonts w:ascii="Arial" w:cs="Arial" w:eastAsia="Arial" w:hAnsi="Arial"/>
          <w:sz w:val="18"/>
          <w:szCs w:val="18"/>
          <w:color w:val="auto"/>
        </w:rPr>
        <w:t>working capital, total assets, and total members’/shareholders’ equity (deficit) by $ million, assuming no change in the assumed initial public offering price per share and after deducting estimated underwriting discounts and commissions and estimated offering expenses payable by us.</w:t>
      </w:r>
    </w:p>
    <w:p>
      <w:pPr>
        <w:spacing w:after="0" w:line="28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5"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RISK FACTORS</w:t>
      </w:r>
    </w:p>
    <w:p>
      <w:pPr>
        <w:spacing w:after="0" w:line="170" w:lineRule="exact"/>
        <w:rPr>
          <w:sz w:val="20"/>
          <w:szCs w:val="20"/>
          <w:color w:val="auto"/>
        </w:rPr>
      </w:pPr>
    </w:p>
    <w:p>
      <w:pPr>
        <w:ind w:left="120" w:right="220"/>
        <w:spacing w:after="0"/>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contained in this prospectus, including our consolidated financial statements and related notes appearing at the end of this prospectus, before deciding to invest in our common stock.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Financial Position and Need for Capital</w:t>
      </w:r>
    </w:p>
    <w:p>
      <w:pPr>
        <w:spacing w:after="0" w:line="150"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We have incurred significant losses since inception. We expect to incur losses for the foreseeable future and may never achieve or maintain profitability.</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inception, we have incurred significant operating losses. Our net loss was $21.4 million and $43.6 million for the years ended</w:t>
      </w:r>
    </w:p>
    <w:p>
      <w:pPr>
        <w:spacing w:after="0" w:line="14" w:lineRule="exact"/>
        <w:rPr>
          <w:sz w:val="20"/>
          <w:szCs w:val="20"/>
          <w:color w:val="auto"/>
        </w:rPr>
      </w:pPr>
    </w:p>
    <w:p>
      <w:pPr>
        <w:ind w:left="120" w:right="180"/>
        <w:spacing w:after="0" w:line="234" w:lineRule="auto"/>
        <w:rPr>
          <w:sz w:val="20"/>
          <w:szCs w:val="20"/>
          <w:color w:val="auto"/>
        </w:rPr>
      </w:pPr>
      <w:r>
        <w:rPr>
          <w:rFonts w:ascii="Arial" w:cs="Arial" w:eastAsia="Arial" w:hAnsi="Arial"/>
          <w:sz w:val="18"/>
          <w:szCs w:val="18"/>
          <w:color w:val="auto"/>
        </w:rPr>
        <w:t>December 31, 2021 and 2022, and $ and $ for the three months ended March 31, 2022 and 2023, respectively. As of March 31, 2023, we had an accumulated deficit of $ . We have financed our operations primarily through issuing redeemable</w:t>
      </w:r>
    </w:p>
    <w:p>
      <w:pPr>
        <w:spacing w:after="0" w:line="1"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convertible preferred units and convertible promissory notes and entering into collaboration agreements. Substantially all of our losses have resulted from expenses incurred in connection with our research and development and from general and administrative costs associated with our operations.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112" w:lineRule="exact"/>
        <w:rPr>
          <w:sz w:val="20"/>
          <w:szCs w:val="20"/>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our current research activities and further develop our platform;</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preclinical development and initiate clinical trials for any product candidates we may identify;</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for which we successfully complete clinical trials;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our manufacturing capabilities, including internal manufacturing facilities and contracting with other vendors;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ultimately, commercialize our future product candidates requiring significant marketing, sales, and distribution infrastructure expenses;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research and development, clinical, commercial, general and administration personnel;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maintain, expand, protect, and enforce our intellectual property portfolio;</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or in-license product candidates, intellectual property and technologies;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confirm, maintain or obtain freedom to operate for any of our owned or licensed technologies and product candidates;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and maintain collaborations;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w:t>
      </w:r>
    </w:p>
    <w:p>
      <w:pPr>
        <w:spacing w:after="0" w:line="144" w:lineRule="exact"/>
        <w:rPr>
          <w:rFonts w:ascii="Arial" w:cs="Arial" w:eastAsia="Arial" w:hAnsi="Arial"/>
          <w:sz w:val="18"/>
          <w:szCs w:val="18"/>
          <w:color w:val="auto"/>
        </w:rPr>
      </w:pPr>
    </w:p>
    <w:p>
      <w:pPr>
        <w:ind w:left="340" w:right="120" w:hanging="224"/>
        <w:spacing w:after="0" w:line="271"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legal, audit, accounting, compliance, insurance, investor relations and other expenses to operate as a public company that we did not incur as a private company.</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our platform or delay our pursuit of potential in-licenses or acquisitions.</w:t>
      </w:r>
    </w:p>
    <w:p>
      <w:pPr>
        <w:spacing w:after="0" w:line="111"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have not initiated clinical development of any potential product candidate and expect that it will be many years, if ever, before we have a product candidate ready for commercialization. To become and remain profitable, we must develop and, either directly or through collaborators, eventually commercialize a therapy or therapies with market potential. This will require us to be successful in a range of challenging activities, including identifying product candidates, completing preclinical studies and clinical trials of product candidates, obtaining regulatory approval for these product candidates, manufacturing, marketing and selling those therapies for which we may obtain regulatory approval and satisfying any post-marketing requirements. We may never succeed in these activities and, even if we do, may never generate revenues that are significant or large enough to achieve profitability.</w:t>
      </w:r>
    </w:p>
    <w:p>
      <w:pPr>
        <w:spacing w:after="0" w:line="117"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Because of the numerous risks and uncertainties associated with developing our technology and any potential product candidates,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become profitable.</w:t>
      </w:r>
    </w:p>
    <w:p>
      <w:pPr>
        <w:spacing w:after="0" w:line="142"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product candidates we may identify for development. We may not generate revenues from product sales for many years, if ever. Our ability to generate future revenues from product sales depends heavily on our or our collaborators’ ability to successfully:</w:t>
      </w:r>
    </w:p>
    <w:p>
      <w:pPr>
        <w:spacing w:after="0" w:line="106" w:lineRule="exact"/>
        <w:rPr>
          <w:sz w:val="20"/>
          <w:szCs w:val="20"/>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 product candidates and successfully complete research development of any product candidates we may identify;</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and obtain regulatory approvals for any product candidates for which we successfully complete clinical trials;</w:t>
      </w:r>
    </w:p>
    <w:p>
      <w:pPr>
        <w:spacing w:after="0" w:line="144"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we may obtain regulatory approval by establishing a sales force, marketing and distribution infrastructure, or alternatively, collaborating with a commercialization partner;</w:t>
      </w:r>
    </w:p>
    <w:p>
      <w:pPr>
        <w:spacing w:after="0" w:line="86" w:lineRule="exact"/>
        <w:rPr>
          <w:rFonts w:ascii="Arial" w:cs="Arial" w:eastAsia="Arial" w:hAnsi="Arial"/>
          <w:sz w:val="18"/>
          <w:szCs w:val="18"/>
          <w:color w:val="auto"/>
        </w:rPr>
      </w:pPr>
    </w:p>
    <w:p>
      <w:pPr>
        <w:ind w:left="340" w:right="140" w:hanging="224"/>
        <w:spacing w:after="0" w:line="27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qualify for adequate coverage and reimbursement by government and third-party payors for any product candidates for which we may obtain regulatory approval;</w:t>
      </w:r>
    </w:p>
    <w:p>
      <w:pPr>
        <w:spacing w:after="0" w:line="86" w:lineRule="exact"/>
        <w:rPr>
          <w:rFonts w:ascii="Arial" w:cs="Arial" w:eastAsia="Arial" w:hAnsi="Arial"/>
          <w:sz w:val="18"/>
          <w:szCs w:val="18"/>
          <w:color w:val="auto"/>
        </w:rPr>
      </w:pPr>
    </w:p>
    <w:p>
      <w:pPr>
        <w:ind w:left="340" w:right="60" w:hanging="224"/>
        <w:spacing w:after="0" w:line="25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that can provide adequate, in both amount and quality, products and services to support clinical development and the market demand for any product candidates for which we obtain regulatory approval;</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right="880" w:hanging="224"/>
        <w:spacing w:after="0" w:line="27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maintain and enhance a sustainable, scalable, reproducible and transferable manufacturing process for the product candidates we may develop;</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address competing technological and market developments;</w:t>
      </w:r>
    </w:p>
    <w:p>
      <w:pPr>
        <w:spacing w:after="0" w:line="144" w:lineRule="exact"/>
        <w:rPr>
          <w:rFonts w:ascii="Arial" w:cs="Arial" w:eastAsia="Arial" w:hAnsi="Arial"/>
          <w:sz w:val="18"/>
          <w:szCs w:val="18"/>
          <w:color w:val="auto"/>
        </w:rPr>
      </w:pPr>
    </w:p>
    <w:p>
      <w:pPr>
        <w:ind w:left="340" w:right="40" w:hanging="224"/>
        <w:spacing w:after="0" w:line="27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negotiate favorable terms in any collaboration, licensing or other arrangements into which we may enter and performing our obligations in such collaborations;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receive market acceptance by physicians, patients, healthcare payors, and others in the medical community;</w:t>
      </w:r>
    </w:p>
    <w:p>
      <w:pPr>
        <w:spacing w:after="0" w:line="144" w:lineRule="exact"/>
        <w:rPr>
          <w:rFonts w:ascii="Arial" w:cs="Arial" w:eastAsia="Arial" w:hAnsi="Arial"/>
          <w:sz w:val="18"/>
          <w:szCs w:val="18"/>
          <w:color w:val="auto"/>
        </w:rPr>
      </w:pPr>
    </w:p>
    <w:p>
      <w:pPr>
        <w:ind w:left="340" w:right="120" w:hanging="224"/>
        <w:spacing w:after="0" w:line="27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protect, enforce, defend and expand our portfolio of intellectual property and other proprietary rights, including patents, trade secrets and know-how;</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defend against third-party intellectual property claims of infringement, misappropriation or other violation;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44"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Our expenses could increase beyond expectations if we are required by the U.S. Food and Drug Administration (the “FDA”) or other regulatory authorities to perform preclinical studies or clinical trials in addition to those that we currently anticipate. Even if one or more of the product candidates we may develop are approved for commercial sale, we anticipate incurring significant costs associated with commercializing any approved product candidate. Additionally, such products may become subject to unfavorable pricing regulations, third-party reimbursement practices or healthcare reform initiatives. Even if we are able to generate revenues from the sale of any approved product candidates, we may not become profitable and may need to obtain additional funding to continue operations.</w:t>
      </w:r>
    </w:p>
    <w:p>
      <w:pPr>
        <w:spacing w:after="0" w:line="113"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i w:val="1"/>
          <w:iCs w:val="1"/>
          <w:color w:val="auto"/>
        </w:rPr>
        <w:t>We will need substantial additional funding in addition to the net proceeds we receive from this offering. If we are unable to raise additional capital when needed on acceptable terms, or at all, we may be forced to delay, reduce, or terminate certain of our research and product development programs, future commercialization efforts or other operations.</w:t>
      </w:r>
    </w:p>
    <w:p>
      <w:pPr>
        <w:spacing w:after="0" w:line="7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Developing gene editing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identify, continue the research and development of, initiate and conduct clinical trials of, and seek regulatory approval for, any product candidates we may identify. In addition, if we obtain regulatory approval for any product candidates we may identify, we expect to incur significant commercialization expenses related to product sales, marketing, manufacturing, and distribution to the extent that such sales, marketing, manufacturing, and distribution are not the responsibility of a collaborator. Other unanticipated costs may also arise.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acceptable terms, we would be forced to delay, reduce, or eliminate our research and product development programs, future commercialization efforts or other operations.</w:t>
      </w:r>
    </w:p>
    <w:p>
      <w:pPr>
        <w:spacing w:after="0" w:line="118" w:lineRule="exact"/>
        <w:rPr>
          <w:sz w:val="20"/>
          <w:szCs w:val="20"/>
          <w:color w:val="auto"/>
        </w:rPr>
      </w:pPr>
    </w:p>
    <w:p>
      <w:pPr>
        <w:ind w:left="120" w:right="140"/>
        <w:spacing w:after="0" w:line="245" w:lineRule="auto"/>
        <w:rPr>
          <w:sz w:val="20"/>
          <w:szCs w:val="20"/>
          <w:color w:val="auto"/>
        </w:rPr>
      </w:pPr>
      <w:r>
        <w:rPr>
          <w:rFonts w:ascii="Arial" w:cs="Arial" w:eastAsia="Arial" w:hAnsi="Arial"/>
          <w:sz w:val="18"/>
          <w:szCs w:val="18"/>
          <w:color w:val="auto"/>
        </w:rPr>
        <w:t>As of March 31, 2023, our cash, cash equivalents and available-for-sale marketable securities were $ . We expect that the net proceeds from this offering, together with our existing cash, cash equivalents, and available-for-sale marketable securities, will enable us</w:t>
      </w:r>
    </w:p>
    <w:p>
      <w:pPr>
        <w:jc w:val="both"/>
        <w:ind w:left="120" w:right="40"/>
        <w:spacing w:after="0" w:line="242" w:lineRule="auto"/>
        <w:rPr>
          <w:sz w:val="20"/>
          <w:szCs w:val="20"/>
          <w:color w:val="auto"/>
        </w:rPr>
      </w:pPr>
      <w:r>
        <w:rPr>
          <w:rFonts w:ascii="Arial" w:cs="Arial" w:eastAsia="Arial" w:hAnsi="Arial"/>
          <w:sz w:val="18"/>
          <w:szCs w:val="18"/>
          <w:color w:val="auto"/>
        </w:rPr>
        <w:t>to fund our operating expenses and capital expenditure requirements into . However, our operating plan may change as a result of factors currently unknown to us, and we may need to seek funding sooner than planned. Our future capital requirements will depend on many factors, including:</w:t>
      </w:r>
    </w:p>
    <w:p>
      <w:pPr>
        <w:spacing w:after="0" w:line="112" w:lineRule="exact"/>
        <w:rPr>
          <w:sz w:val="20"/>
          <w:szCs w:val="20"/>
          <w:color w:val="auto"/>
        </w:rPr>
      </w:pPr>
    </w:p>
    <w:p>
      <w:pPr>
        <w:ind w:left="5520" w:right="2800" w:hanging="5404"/>
        <w:spacing w:after="0" w:line="443"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progress of research and development, preclinical and clinical development activities; 20</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scope and duration of clinical trials required for regulatory approval of our future product candidates;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any of our future product candidates;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manufacturing clinical and commercial supplies of our future product candidates;</w:t>
      </w:r>
    </w:p>
    <w:p>
      <w:pPr>
        <w:spacing w:after="0" w:line="144" w:lineRule="exact"/>
        <w:rPr>
          <w:rFonts w:ascii="Arial" w:cs="Arial" w:eastAsia="Arial" w:hAnsi="Arial"/>
          <w:sz w:val="18"/>
          <w:szCs w:val="18"/>
          <w:color w:val="auto"/>
        </w:rPr>
      </w:pPr>
    </w:p>
    <w:p>
      <w:pPr>
        <w:ind w:left="340" w:right="60" w:hanging="224"/>
        <w:spacing w:after="0" w:line="271"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future product candidates for which we receive regulatory approval;</w:t>
      </w:r>
    </w:p>
    <w:p>
      <w:pPr>
        <w:spacing w:after="0" w:line="86" w:lineRule="exact"/>
        <w:rPr>
          <w:rFonts w:ascii="Arial" w:cs="Arial" w:eastAsia="Arial" w:hAnsi="Arial"/>
          <w:sz w:val="18"/>
          <w:szCs w:val="18"/>
          <w:color w:val="auto"/>
        </w:rPr>
      </w:pPr>
    </w:p>
    <w:p>
      <w:pPr>
        <w:ind w:left="340" w:right="580" w:hanging="224"/>
        <w:spacing w:after="0" w:line="271"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preparing, filing and prosecuting our patent applications, maintaining and enforcing our patents and other intellectual property rights and defending intellectual property-related claims;</w:t>
      </w:r>
    </w:p>
    <w:p>
      <w:pPr>
        <w:spacing w:after="0" w:line="86" w:lineRule="exact"/>
        <w:rPr>
          <w:rFonts w:ascii="Arial" w:cs="Arial" w:eastAsia="Arial" w:hAnsi="Arial"/>
          <w:sz w:val="18"/>
          <w:szCs w:val="18"/>
          <w:color w:val="auto"/>
        </w:rPr>
      </w:pPr>
    </w:p>
    <w:p>
      <w:pPr>
        <w:ind w:left="340" w:right="220" w:hanging="224"/>
        <w:spacing w:after="0" w:line="25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and license agreements on favorable terms, if at all;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future product candidates;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implementation of various computerized informational systems and efforts to enhance operational systems;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expenses incurred to attract, hire and retain skilled personnel;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44"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payers;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44" w:lineRule="exact"/>
        <w:rPr>
          <w:rFonts w:ascii="Arial" w:cs="Arial" w:eastAsia="Arial" w:hAnsi="Arial"/>
          <w:sz w:val="18"/>
          <w:szCs w:val="18"/>
          <w:color w:val="auto"/>
        </w:rPr>
      </w:pPr>
    </w:p>
    <w:p>
      <w:pPr>
        <w:ind w:left="340" w:right="280" w:hanging="224"/>
        <w:spacing w:after="0" w:line="271"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the COVID-19 pandemic, as well as other factors, including economic uncertainty and geopolitical tensions, which may exacerbate the magnitude of the factors discussed above.</w:t>
      </w:r>
    </w:p>
    <w:p>
      <w:pPr>
        <w:spacing w:after="0" w:line="8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future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our product candidates. We have no committed sources of additional capital and, if we are unable to raise additional capital in sufficient amounts or on terms acceptable to us, we may have to significantly delay, scale back or discontinue the development or commercialization of our future product candidates or other research and development initiatives. Without sufficient funding, our license agreements and any future collaboration agreements may also be terminated if we are unable to meet the payment or other obligations under such agreements.</w:t>
      </w:r>
    </w:p>
    <w:p>
      <w:pPr>
        <w:spacing w:after="0" w:line="111" w:lineRule="exact"/>
        <w:rPr>
          <w:sz w:val="20"/>
          <w:szCs w:val="20"/>
          <w:color w:val="auto"/>
        </w:rPr>
      </w:pPr>
    </w:p>
    <w:p>
      <w:pPr>
        <w:ind w:left="120" w:right="220"/>
        <w:spacing w:after="0" w:line="242" w:lineRule="auto"/>
        <w:rPr>
          <w:sz w:val="20"/>
          <w:szCs w:val="20"/>
          <w:color w:val="auto"/>
        </w:rPr>
      </w:pPr>
      <w:r>
        <w:rPr>
          <w:rFonts w:ascii="Arial" w:cs="Arial" w:eastAsia="Arial" w:hAnsi="Arial"/>
          <w:sz w:val="18"/>
          <w:szCs w:val="18"/>
          <w:color w:val="auto"/>
        </w:rPr>
        <w:t>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Additionally, if we raise funds through additional collaborations, strategic alliances, or licensing arrangements with third parties, we may have to relinquish valuable rights to our technologies, future revenue streams, research programs, or product candidates we develop, or we may have to grant licenses on terms that may not be favorable to us and/or that may reduce the value of our common stock.</w:t>
      </w:r>
    </w:p>
    <w:p>
      <w:pPr>
        <w:spacing w:after="0" w:line="113"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Our short operating history may make it difficult for you to evaluate the success of our business to date and to assess our future viability.</w:t>
      </w:r>
    </w:p>
    <w:p>
      <w:pPr>
        <w:spacing w:after="0" w:line="58"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We are an early-stage company. We commenced our operations in September 2018. Our operations to date have been limited to organizing and staffing our company, business planning, raising capital, and research and development activities such as acquiring and developing our platform and technology and identifying and beginning to advance preclinical testing of potential product candidates. All of our programs are still in the research or lead optimization stage of development and their risk of failure is high. We have not yet demonstrated an ability to initiate or successfully complete any clinical trials, including large-scale, pivotal clinical trials, obtain regulatory approvals, manufacture a commercial-scale therapy, arrange for a third party to do so on our behalf or conduct sales and marketing activities necessary for successful commercialization.</w:t>
      </w:r>
    </w:p>
    <w:p>
      <w:pPr>
        <w:spacing w:after="0" w:line="117" w:lineRule="exact"/>
        <w:rPr>
          <w:sz w:val="20"/>
          <w:szCs w:val="20"/>
          <w:color w:val="auto"/>
        </w:rPr>
      </w:pPr>
    </w:p>
    <w:p>
      <w:pPr>
        <w:ind w:left="120" w:right="360"/>
        <w:spacing w:after="0" w:line="247" w:lineRule="auto"/>
        <w:rPr>
          <w:sz w:val="20"/>
          <w:szCs w:val="20"/>
          <w:color w:val="auto"/>
        </w:rPr>
      </w:pPr>
      <w:r>
        <w:rPr>
          <w:rFonts w:ascii="Arial" w:cs="Arial" w:eastAsia="Arial" w:hAnsi="Arial"/>
          <w:sz w:val="18"/>
          <w:szCs w:val="18"/>
          <w:color w:val="auto"/>
        </w:rPr>
        <w:t>Our limited operating history, particularly in light of the rapidly evolving genome editing field, may make it difficult to evaluate our technology and industry and predict our future performance. Our short history as an operating company makes any assessment of our future success or viability subject to significant uncertainty. We will encounter risks and difficulties frequently experienced by very early stage companies in rapidly evolving fields. If we do not address these risks successfully, our business will suffer.</w:t>
      </w:r>
    </w:p>
    <w:p>
      <w:pPr>
        <w:spacing w:after="0" w:line="106"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In addition, as a new business that is rapidly growing, we may encounter other unforeseen expenses, difficulties, complications, and delays in our product development. We will need to transition from a company with a research focus to a company capable of conducting clinical trials and ultimately supporting commercial activities if any of our future product candidates are approved. We may not be successful in such a transition.</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future ability to utilize our net operating loss carryforwards and certain other tax attributes may be limited.</w:t>
      </w:r>
    </w:p>
    <w:p>
      <w:pPr>
        <w:spacing w:after="0" w:line="142"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Since our inception, we have incurred losses and we may never achieve profitability. As of December 31, 2022, we had U.S. federal net operating loss carryforwards of $ 0.02 million (which are not subject to expiration) and state net operating loss carryforwards of $8.3 million (which begin to expire in various amounts in 2037), and $2.8 million of research credit carryforwards for state income tax purposes (which do not expire and can be carried forward indefinitely). To the extent that we continue to generate taxable losses, under current law, our unused U.S. federal net operating losses (“NOLs”) may be carried forward to offset a portion of future taxable income, if any. Additionally, we continue to generate business tax credits, including research and development tax credits, which generally may be carried forward to offset a portion of future taxable income, if any, subject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to expiration of such credit carryforwards. Under Sections 382 and 383 of the Internal Revenue Code of 1986, as amended (the “Code”), if a corporation undergoes an “ownership change,” generally defined as one or more shareholders or groups of shareholders who own at least 5 percent of the corporation’s equity increasing their equity ownership in the aggregate by more than 50 percentage points (by value) over a three-year period, the corporation’s ability to use its pre-change NOLs and other pre-change tax attributes (such as research and development tax credits) to offset its post-change income or taxes may be limited. Similar rules may apply under state tax laws. Our prior equity offerings and other changes in our stock ownership have resulted in such ownership changes in the past. In addition, we may experience ownership changes in the future as a result of this offering or subsequent shifts in our stock ownership, some of which are outside of our control. As a result, if we earn net taxable income, our ability to use our pre-change NOLs or other pre-change tax attributes to offset U.S. federal taxable income may be subject to limitations, which could potentially result in increased future tax liability to us. Additional limitations on our ability to utilize our NOLs to offset future taxable income may arise as a result of our corporate structure whereby NOLs generated by our subsidiary may not be available to offset taxable income earned by our subsidiary. There is a risk that due to changes under the tax law,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owed. For these reasons, we may not be able to realize a tax benefit from the use of our NOLs or tax credits, even if we attain profitability.</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14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our business and our financial condition. In recent years, many such changes have been made and changes are likely to continue to occur in the future. We cannot predict whether, when, in what form or with what effective dates, tax laws, regulations and rulings may be enacted, promulgated or decided or whether they could increase our tax liability or require changes in the manner in which we operate in order to minimize increases in our tax liability.</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Business, Technology, and Industry</w:t>
      </w:r>
    </w:p>
    <w:p>
      <w:pPr>
        <w:spacing w:after="0" w:line="150" w:lineRule="exact"/>
        <w:rPr>
          <w:sz w:val="20"/>
          <w:szCs w:val="20"/>
          <w:color w:val="auto"/>
        </w:rPr>
      </w:pPr>
    </w:p>
    <w:p>
      <w:pPr>
        <w:ind w:left="120" w:right="100"/>
        <w:spacing w:after="0" w:line="249" w:lineRule="auto"/>
        <w:rPr>
          <w:sz w:val="20"/>
          <w:szCs w:val="20"/>
          <w:color w:val="auto"/>
        </w:rPr>
      </w:pPr>
      <w:r>
        <w:rPr>
          <w:rFonts w:ascii="Arial" w:cs="Arial" w:eastAsia="Arial" w:hAnsi="Arial"/>
          <w:sz w:val="18"/>
          <w:szCs w:val="18"/>
          <w:b w:val="1"/>
          <w:bCs w:val="1"/>
          <w:i w:val="1"/>
          <w:iCs w:val="1"/>
          <w:color w:val="auto"/>
        </w:rPr>
        <w:t>We are very early in our development efforts, and we have not yet initiated IND-enabling studies or clinical development of any product candidate. As a result, we expect it will be many years before we commercialize any product candidate, if ever. If we are unable to advance our future product candidates into and through clinical trials, obtain regulatory approval and ultimately commercialize our product candidates or experience significant delays in doing so, our business will be materially harmed.</w:t>
      </w:r>
    </w:p>
    <w:p>
      <w:pPr>
        <w:spacing w:after="0" w:line="84"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We are very early in our development efforts and have focused our research and development efforts to date on research efforts including preclinical studies. Currently, all of our programs are still in the research or lead optimization stage of development. Our ability to generate product revenues, which we do not expect will occur for many years, if ever, will depend heavily on the successful development, regulatory approval and eventual commercialization of our future product candidates, which may never occur. We have not yet generated revenue from product sales, and we may never be able to develop or commercialize a marketable product.</w:t>
      </w:r>
    </w:p>
    <w:p>
      <w:pPr>
        <w:spacing w:after="0" w:line="109"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Commencing clinical trials in the United States is subject to acceptance by the FDA of an investigational new drug (“IND”) application and finalizing the trial design based on discussions with the FDA. In the event that the FDA requires us to complete additional preclinical studies or we are required to satisfy other FDA requests prior</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to commencing clinical trials, the start of our first clinical trials may be delayed or we may be unsuccessful obtaining clearance to proceed into clinical development. Even after we receive and incorporate guidance from the FDA, the FDA could disagree that we have satisfied their requirements to commence any clinical trial or change their position on the acceptability of our trial design or the clinical endpoints selected, which may require us to complete additional preclinical studies or clinical trials, delay the enrollment of our clinical trials, abandon our clinical development plans or meet stricter approval conditions than we currently expect. There are equivalent processes and risks applicable to clinical trial applications in other countries, including countries in the European Union.</w:t>
      </w:r>
    </w:p>
    <w:p>
      <w:pPr>
        <w:spacing w:after="0" w:line="111"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In addition, clinical trials conducted in one country may not be accepted by regulatory authorities in other countries, and regulatory approval in one country does not guarantee regulatory approval in any other country. We may conduct one or more of our clinical trials with one or more trial sites that are located outside the United States. Although the FDA may accept data from clinical trials conducted outside the United States, acceptance of these data is subject to conditions imposed by the FDA, and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117" w:lineRule="exact"/>
        <w:rPr>
          <w:sz w:val="20"/>
          <w:szCs w:val="20"/>
          <w:color w:val="auto"/>
        </w:rPr>
      </w:pPr>
    </w:p>
    <w:p>
      <w:pPr>
        <w:jc w:val="both"/>
        <w:ind w:left="120" w:right="440"/>
        <w:spacing w:after="0" w:line="253" w:lineRule="auto"/>
        <w:rPr>
          <w:sz w:val="20"/>
          <w:szCs w:val="20"/>
          <w:color w:val="auto"/>
        </w:rPr>
      </w:pPr>
      <w:r>
        <w:rPr>
          <w:rFonts w:ascii="Arial" w:cs="Arial" w:eastAsia="Arial" w:hAnsi="Arial"/>
          <w:sz w:val="18"/>
          <w:szCs w:val="18"/>
          <w:color w:val="auto"/>
        </w:rPr>
        <w:t>Commercialization of any product candidates we may develop will require preclinical and clinical development; regulatory approval in multiple jurisdictions; manufacturing supply, capacity and expertise; a commercial organization; and significant marketing efforts. The success of product candidates we may identify and develop will depend on many factors, including the following:</w:t>
      </w:r>
    </w:p>
    <w:p>
      <w:pPr>
        <w:spacing w:after="0" w:line="101" w:lineRule="exact"/>
        <w:rPr>
          <w:sz w:val="20"/>
          <w:szCs w:val="20"/>
          <w:color w:val="auto"/>
        </w:rPr>
      </w:pPr>
    </w:p>
    <w:p>
      <w:pPr>
        <w:ind w:left="340" w:right="320" w:hanging="224"/>
        <w:spacing w:after="0" w:line="27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including toxicology studies, biodistribution studies and minimally efficacious dose studies in animals, where applicable;</w:t>
      </w:r>
    </w:p>
    <w:p>
      <w:pPr>
        <w:spacing w:after="0" w:line="86" w:lineRule="exact"/>
        <w:rPr>
          <w:rFonts w:ascii="Arial" w:cs="Arial" w:eastAsia="Arial" w:hAnsi="Arial"/>
          <w:sz w:val="18"/>
          <w:szCs w:val="18"/>
          <w:color w:val="auto"/>
        </w:rPr>
      </w:pPr>
    </w:p>
    <w:p>
      <w:pPr>
        <w:ind w:left="340" w:right="160" w:hanging="224"/>
        <w:spacing w:after="0" w:line="27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 INDs or comparable foreign applications that allow commencement of our planned clinical trials or future clinical trials for any product candidates we may develop;</w:t>
      </w:r>
    </w:p>
    <w:p>
      <w:pPr>
        <w:spacing w:after="0" w:line="86" w:lineRule="exact"/>
        <w:rPr>
          <w:rFonts w:ascii="Arial" w:cs="Arial" w:eastAsia="Arial" w:hAnsi="Arial"/>
          <w:sz w:val="18"/>
          <w:szCs w:val="18"/>
          <w:color w:val="auto"/>
        </w:rPr>
      </w:pPr>
    </w:p>
    <w:p>
      <w:pPr>
        <w:ind w:left="340" w:right="460" w:hanging="224"/>
        <w:spacing w:after="0" w:line="27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including under the FDA’s current Good Clinical Practices (“GCPs”), current Good Laboratory Practices (“GLPs”), and any additional regulatory requirements from foreign regulatory authorities;</w:t>
      </w:r>
    </w:p>
    <w:p>
      <w:pPr>
        <w:spacing w:after="0" w:line="86" w:lineRule="exact"/>
        <w:rPr>
          <w:rFonts w:ascii="Arial" w:cs="Arial" w:eastAsia="Arial" w:hAnsi="Arial"/>
          <w:sz w:val="18"/>
          <w:szCs w:val="18"/>
          <w:color w:val="auto"/>
        </w:rPr>
      </w:pPr>
    </w:p>
    <w:p>
      <w:pPr>
        <w:ind w:left="340" w:right="240" w:hanging="224"/>
        <w:spacing w:after="0" w:line="27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positive results from our future clinical trials that support a finding of safety and effectiveness and an acceptable risk-benefit profile in the intended populations;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w:t>
      </w:r>
    </w:p>
    <w:p>
      <w:pPr>
        <w:spacing w:after="0" w:line="144" w:lineRule="exact"/>
        <w:rPr>
          <w:rFonts w:ascii="Arial" w:cs="Arial" w:eastAsia="Arial" w:hAnsi="Arial"/>
          <w:sz w:val="18"/>
          <w:szCs w:val="18"/>
          <w:color w:val="auto"/>
        </w:rPr>
      </w:pPr>
    </w:p>
    <w:p>
      <w:pPr>
        <w:ind w:left="340" w:right="340" w:hanging="224"/>
        <w:spacing w:after="0" w:line="27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establishment of arrangements through our own facilities or with third-party manufacturers for clinical supply and, where applicable, commercial manufacturing capabilities;</w:t>
      </w:r>
    </w:p>
    <w:p>
      <w:pPr>
        <w:spacing w:after="0" w:line="86" w:lineRule="exact"/>
        <w:rPr>
          <w:rFonts w:ascii="Arial" w:cs="Arial" w:eastAsia="Arial" w:hAnsi="Arial"/>
          <w:sz w:val="18"/>
          <w:szCs w:val="18"/>
          <w:color w:val="auto"/>
        </w:rPr>
      </w:pPr>
    </w:p>
    <w:p>
      <w:pPr>
        <w:ind w:left="340" w:right="200" w:hanging="224"/>
        <w:spacing w:after="0" w:line="27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establishment, maintenance, defense and enforcement of patent, trademark, trade secret and other intellectual property protection or regulatory exclusivity for any product candidates we may develop;</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 launch of any product candidates we may develop, if approved, whether alone or in collaboration with others;</w:t>
      </w:r>
    </w:p>
    <w:p>
      <w:pPr>
        <w:spacing w:after="0" w:line="144" w:lineRule="exact"/>
        <w:rPr>
          <w:rFonts w:ascii="Arial" w:cs="Arial" w:eastAsia="Arial" w:hAnsi="Arial"/>
          <w:sz w:val="18"/>
          <w:szCs w:val="18"/>
          <w:color w:val="auto"/>
        </w:rPr>
      </w:pPr>
    </w:p>
    <w:p>
      <w:pPr>
        <w:ind w:left="340" w:right="700" w:hanging="224"/>
        <w:spacing w:after="0" w:line="27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the benefits and use of our product candidates we may develop, including method of administration, if and when approved, by patients, the medical community and third-party payors;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 competition with other therapies;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right="480" w:hanging="224"/>
        <w:spacing w:after="0" w:line="27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maintenance of a continued acceptable safety, tolerability and efficacy profile of any product candidates we may develop following approval; and</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establishment and maintenance of healthcare coverage and adequate reimbursement by payors.</w:t>
      </w:r>
    </w:p>
    <w:p>
      <w:pPr>
        <w:spacing w:after="0" w:line="144"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If we do not succeed in one or more of these factors in a timely manner or at all, we could experience significant delays or an inability to successfully commercialize any product candidates we may develop, which would materially harm our business. If we are unable to advance our product candidates to clinical development, obtain regulatory approval and ultimately commercialize our product candidates, or experience significant delays in doing so, our business will be materially harmed.</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additional development challenges and risks due to the novel nature of our genome editing technology.</w:t>
      </w:r>
    </w:p>
    <w:p>
      <w:pPr>
        <w:spacing w:after="0" w:line="129"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color w:val="auto"/>
        </w:rPr>
        <w:t xml:space="preserve">Because our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technology potentially involves genome editing across multiple cell and tissue types, we are subject to many of the challenges and risks that other genome editing therapeutics and gene therapies face, including:</w:t>
      </w:r>
    </w:p>
    <w:p>
      <w:pPr>
        <w:spacing w:after="0" w:line="86" w:lineRule="exact"/>
        <w:rPr>
          <w:sz w:val="20"/>
          <w:szCs w:val="20"/>
          <w:color w:val="auto"/>
        </w:rPr>
      </w:pPr>
    </w:p>
    <w:p>
      <w:pPr>
        <w:ind w:left="340" w:right="320" w:hanging="224"/>
        <w:spacing w:after="0" w:line="27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guidance regarding the requirements governing gene and genome editing therapy product candidates have changed and may continue to change in the future;</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to date, only a limited number of products that involve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transfer have been approved globally;</w:t>
      </w:r>
    </w:p>
    <w:p>
      <w:pPr>
        <w:spacing w:after="0" w:line="144" w:lineRule="exact"/>
        <w:rPr>
          <w:rFonts w:ascii="Arial" w:cs="Arial" w:eastAsia="Arial" w:hAnsi="Arial"/>
          <w:sz w:val="18"/>
          <w:szCs w:val="18"/>
          <w:color w:val="auto"/>
        </w:rPr>
      </w:pPr>
    </w:p>
    <w:p>
      <w:pPr>
        <w:ind w:left="340" w:right="460" w:hanging="224"/>
        <w:spacing w:after="0" w:line="27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improper modulation of a gene sequence, including unintended editing events or insertion of a sequence into certain locations in a patient’s chromosome, could lead to cancer, other aberrantly functioning cells or other diseases, including death;</w:t>
      </w:r>
    </w:p>
    <w:p>
      <w:pPr>
        <w:spacing w:after="0" w:line="86" w:lineRule="exact"/>
        <w:rPr>
          <w:rFonts w:ascii="Arial" w:cs="Arial" w:eastAsia="Arial" w:hAnsi="Arial"/>
          <w:sz w:val="18"/>
          <w:szCs w:val="18"/>
          <w:color w:val="auto"/>
        </w:rPr>
      </w:pPr>
    </w:p>
    <w:p>
      <w:pPr>
        <w:ind w:left="340" w:right="440" w:hanging="224"/>
        <w:spacing w:after="0" w:line="301"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corrective expression of a missing protein in patients’ cells could result in the protein being recognized as foreign, and lead to a sustained immunological reaction against the expressed protein or expressing cells, which could be severe or life-threatening; and</w:t>
      </w:r>
    </w:p>
    <w:p>
      <w:pPr>
        <w:spacing w:after="0" w:line="63" w:lineRule="exact"/>
        <w:rPr>
          <w:rFonts w:ascii="Arial" w:cs="Arial" w:eastAsia="Arial" w:hAnsi="Arial"/>
          <w:sz w:val="17"/>
          <w:szCs w:val="17"/>
          <w:color w:val="auto"/>
        </w:rPr>
      </w:pPr>
    </w:p>
    <w:p>
      <w:pPr>
        <w:ind w:left="340" w:right="20" w:hanging="224"/>
        <w:spacing w:after="0" w:line="24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agencies may require extended follow-up observation periods of patients who receive treatment using genome editing product candidates including, for example, the FDA’s recommended 15-year follow-up observation period for these patients, and we will need to adopt such observation periods for product candidates we develop if required by the relevant regulatory agency, which could vary by country or region.</w:t>
      </w:r>
    </w:p>
    <w:p>
      <w:pPr>
        <w:spacing w:after="0" w:line="106" w:lineRule="exact"/>
        <w:rPr>
          <w:sz w:val="20"/>
          <w:szCs w:val="20"/>
          <w:color w:val="auto"/>
        </w:rPr>
      </w:pPr>
    </w:p>
    <w:p>
      <w:pPr>
        <w:ind w:left="120" w:right="140"/>
        <w:spacing w:after="0" w:line="266" w:lineRule="auto"/>
        <w:rPr>
          <w:sz w:val="20"/>
          <w:szCs w:val="20"/>
          <w:color w:val="auto"/>
        </w:rPr>
      </w:pPr>
      <w:r>
        <w:rPr>
          <w:rFonts w:ascii="Arial" w:cs="Arial" w:eastAsia="Arial" w:hAnsi="Arial"/>
          <w:sz w:val="17"/>
          <w:szCs w:val="17"/>
          <w:color w:val="auto"/>
        </w:rPr>
        <w:t xml:space="preserve">Furthermore, our technology has potential application for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immune cell editing strategies. Because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application of our technology potentially involves editing human cells and then delivering modified cells to patients, we may be subject to many of the challenges and risks that engineered cell therapies face. For example, clinical trials using engineered cell-based gene therapies may require unique products to be created for each patient and such individualistic manufacturing may be both inefficient and cost-prohibitive.</w:t>
      </w:r>
    </w:p>
    <w:p>
      <w:pPr>
        <w:spacing w:after="0" w:line="94" w:lineRule="exact"/>
        <w:rPr>
          <w:sz w:val="20"/>
          <w:szCs w:val="20"/>
          <w:color w:val="auto"/>
        </w:rPr>
      </w:pPr>
    </w:p>
    <w:p>
      <w:pPr>
        <w:jc w:val="both"/>
        <w:ind w:left="120" w:right="260"/>
        <w:spacing w:after="0" w:line="256"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Because genome editing is novel and the regulatory landscape that will govern our potential product candidates is uncertain and may change, we cannot predict the time and cost of obtaining regulatory approval, if we receive it at all, for our potential product candidates.</w:t>
      </w:r>
    </w:p>
    <w:p>
      <w:pPr>
        <w:spacing w:after="0" w:line="7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 time required to obtain approval for any of our potential product candidates from the FDA, the European Medicines Agency (“EMA”) or other comparable foreign regulatory authorities is unpredictable but typically takes many years following the commencement of clinical trials and depends upon numerous factors, including the substantial discretion of regulatory authorities. For more information on the regulatory approval process, see “Business—Government Regulation.” Clinical trials may fail to demonstrate that our product candidates are safe for humans and effective for indicated uses. Even if initial clinical trials in any of any product candidates we may develop are successful, such product candidates may fail to show the desired safety and efficacy in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later stages of clinical development despite having successfully advanced through preclinical studies and initial clinical trials. 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w:t>
      </w:r>
    </w:p>
    <w:p>
      <w:pPr>
        <w:spacing w:after="0" w:line="8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Because genome editing is novel, the regulatory requirements that will govern any novel genome editing product candidates we develop may continue to evolve. Within the broader genetic therapy field, a limited number of gene therapy products have received marketing authorization from the FDA and the EMA to date. Even with respect to more established products that fit into the categories of gene therapies or cell therapies, the regulatory landscape is still developing. Regulatory requirements governing gene therapy products and cell therapy products have changed frequently and may continue to change in the future. For example, in January 2020, the FDA issued several new guidance documents on gene therapy products, and in March 2022, the FDA published a draft guidance document providing recommendations for human genome editing gene therapy products. Moreover, there is substantial, and sometimes uncoordinated, overlap in those responsible for regulation of existing gene therapy products and cell therapy products. For example, in the United States, the FDA has established the Office of Therapeutic Products (“OTP”) within its Center for Biologics Evaluation and Research (“CBER”) to consolidate the review of gene therapy and related products, and the Cellular, Tissue and Gene Therapies Advisory Committee to advise CBER on its review. Gene therapy clinical trials may also be subject to review and oversight by an institutional biosafety committee (“IBC”), a local institutional committee that reviews and oversees certain basic and clinical research conducted at the institution participating in the clinical trial. Although the FDA decides whether individual gene therapy protocols may proceed, the review process and determinations of other reviewing bodies, such as an IBC or institutional review board (“IRB”), can impede or delay the initiation of a clinical trial, even if the FDA has reviewed the trial and approved its initiation. For example, more recently, some genome editing companies have seen significant delays in receiving FDA authorization to allow the initiation of their clinical trials, and has suspended ongoing trials, due to the FDA’s placement of clinical holds on their INDs.</w:t>
      </w:r>
    </w:p>
    <w:p>
      <w:pPr>
        <w:spacing w:after="0" w:line="116"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 same applies in the European Union. The EMA’s Committee for Advanced Therapies (“CAT”) is responsible for assessing the quality, safety and efficacy of advanced-therapy medicinal products (i.e. gene therapy, somatic-cell therapy or tissue-engineered medicines). The role of the CAT is to prepare a draft opinion on an application for marketing authorization for a gene therapy medicinal candidate that is submitted to the Committee for Medicinal Products for Human Use (“CHMP”) before CHMP adopts its opinion which is submitted to the European Commission for the final decision on whether to grant a marketing authorization or not. In the European Union, the EMA publishes guidelines for the development and evaluation of gene therapy medicinal products to assist in preparing marketing authorization applications, however these are continually under review. The EMA may issue new guidelines concerning the development and marketing authorization for gene therapy medicinal products and require that we comply with these new guidelines.</w:t>
      </w:r>
    </w:p>
    <w:p>
      <w:pPr>
        <w:spacing w:after="0" w:line="99"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Adverse developments in post-marketing experience or in clinical trials conducted by others of gene therapy products, cell therapy products or products developed through the application of genome editing technology may cause the FDA, the EMA and other regulatory bodies to revise the requirements for development or approval of our potential product candidates or limit the use of products utilizing genome editing technologies, either of which could materially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novel product candidates can be more expensive and take longer than for other, better known or more extensively studied pharmaceutical or other product candidates. Regulatory agencies administering existing or future regulations or legislation may not allow production and marketing of products utilizing genome editing technology in a timely manner or under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technically or commercially feasible conditions. In addition, regulatory action or private litigation could result in expenses, delays or other impediments to our research programs or the commercialization of resulting products.</w:t>
      </w:r>
    </w:p>
    <w:p>
      <w:pPr>
        <w:spacing w:after="0" w:line="86"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The regulatory review committees and advisory groups described above and any new guidelines they promulgate may lengthen the regulatory review process, require us to perform additional studies or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w:t>
      </w:r>
    </w:p>
    <w:p>
      <w:pPr>
        <w:spacing w:after="0" w:line="113" w:lineRule="exact"/>
        <w:rPr>
          <w:sz w:val="20"/>
          <w:szCs w:val="20"/>
          <w:color w:val="auto"/>
        </w:rPr>
      </w:pPr>
    </w:p>
    <w:p>
      <w:pPr>
        <w:ind w:left="120" w:right="60"/>
        <w:spacing w:after="0" w:line="249" w:lineRule="auto"/>
        <w:rPr>
          <w:sz w:val="20"/>
          <w:szCs w:val="20"/>
          <w:color w:val="auto"/>
        </w:rPr>
      </w:pPr>
      <w:r>
        <w:rPr>
          <w:rFonts w:ascii="Arial" w:cs="Arial" w:eastAsia="Arial" w:hAnsi="Arial"/>
          <w:sz w:val="18"/>
          <w:szCs w:val="18"/>
          <w:b w:val="1"/>
          <w:bCs w:val="1"/>
          <w:i w:val="1"/>
          <w:iCs w:val="1"/>
          <w:color w:val="auto"/>
        </w:rPr>
        <w:t>The genome editing field is relatively new and is evolving rapidly. We are focusing our research and development efforts on genome editing using programmable nucleases, base editing, and RNA and DNA-mediated integration systems (including prime editors and CRISPR-associated (“Cas”) transposes), but other genome editing technologies may be discovered that provide significant advantages over such technologies, which could materially harm our business.</w:t>
      </w:r>
    </w:p>
    <w:p>
      <w:pPr>
        <w:spacing w:after="0" w:line="8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To date, we have focused our efforts on genome editing technologies using programmable nucleases, base editing, and RNA and DNA-mediated integration systems (including prime editors and Cas transposes backed by our metagenomics database. Other companies have previously undertaken research and development of genome editing technologies using zinc finger nucleases, engineered meganucleases and transcription activator-like effector nucleases, but to date none have obtained regulatory approval for a product candidate. There can be no certainty that genome editing technology will lead to the development of genetic medicines or that other genome editing technologies will not be considered better or more attractive for the development of medicines. A number of alternative approaches are being developed by others. Our investments may not be consistent with the expectations of our stockholders and may not produce the benefits that we expect, in which case our growth, business, financial condition, and results of operations could be adversely affected. See “Risk Factors—Risks Related to Business, Technology and Industry—We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 Similarly, another new genome editing technology that has not been discovered yet may be more attractive than programmable nucleases, base editing, and RNA and DNA-mediated integration systems. Moreover, if we decide to develop genome editing technologies other than those involving such technologies, we cannot be certain we will be able to obtain rights to such technologies. Any of these factors could reduce or eliminate our commercial opportunity, and could have a material adverse effect on our business, financial condition, results of operations and prospects.</w:t>
      </w:r>
    </w:p>
    <w:p>
      <w:pPr>
        <w:spacing w:after="0" w:line="120" w:lineRule="exact"/>
        <w:rPr>
          <w:sz w:val="20"/>
          <w:szCs w:val="20"/>
          <w:color w:val="auto"/>
        </w:rPr>
      </w:pPr>
    </w:p>
    <w:p>
      <w:pPr>
        <w:ind w:left="120" w:right="100"/>
        <w:spacing w:after="0" w:line="256" w:lineRule="auto"/>
        <w:rPr>
          <w:sz w:val="20"/>
          <w:szCs w:val="20"/>
          <w:color w:val="auto"/>
        </w:rPr>
      </w:pPr>
      <w:r>
        <w:rPr>
          <w:rFonts w:ascii="Arial" w:cs="Arial" w:eastAsia="Arial" w:hAnsi="Arial"/>
          <w:sz w:val="18"/>
          <w:szCs w:val="18"/>
          <w:b w:val="1"/>
          <w:bCs w:val="1"/>
          <w:i w:val="1"/>
          <w:iCs w:val="1"/>
          <w:color w:val="auto"/>
        </w:rPr>
        <w:t>If any of the product candidates we may develop or the delivery modes we rely on cause undesirable side effects, it could delay or prevent their development or potential regulatory approval, limit the commercial potential or result in significant negative consequences following any potential regulatory approval.</w:t>
      </w:r>
    </w:p>
    <w:p>
      <w:pPr>
        <w:spacing w:after="0" w:line="92"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To date, we have not evaluated any product candidates in human clinical trials. It is impossible to predict when or if any product candidates we may develop will ultimately prove safe in humans. In the genomic medicine field, there have been several significant adverse events from gene therapy treatments in the past, including reported cases of leukemia and death. Product candidates we may develop may be associated with undesirable side effects, unexpected characteristics or other serious adverse events, including off-target cuts of DNA, or the introduction of cuts in DNA at locations other than the target sequence. These off-target cuts could lead to</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disruption of a gene or a genetic regulatory sequence at an unintended site in the DNA, or, in those instances where we also provide a segment of DNA to serve as a repair template, it is possible that following off-target cut events, DNA from such repair template could be integrated into the genome at an unintended site, potentially disrupting another important gene or genomic element. There is also the potential risk of delayed adverse events following exposure to genome editing therapy due to persistent biologic activity of the genetic material or other components of products used to carry the genetic material. Possible adverse side effects that could occur with treatment with genome editing products include an immunologic reaction after administration which could substantially limit the effectiveness of the treatment If any of our genome editing technologies demonstrate a similar effect, we may decide or be required to halt or delay preclinical development or clinical development of any product candidates we may develop. In addition to serious adverse events or side effects caused by any product candidate we may develop, the administration process or related procedures also can cause undesirable side effects. If any such events occur, our preclinical studies or clinical trials could be delayed, suspended or terminated. There can be no assurance that our genome editing technologies will not cause severe or undesirable side effects.</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in the future we are unable to demonstrate that such adverse events were caused by factors other than our product candidate, the FDA, the EMA or other comparable foreign regulatory authorities could order us to cease further clinical studies of, or deny approval of, any product candidates we develop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product candidate we may develop, the commercial prospects of such product candidates may be harmed and our ability to generate product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11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Viral vectors, including the adeno-associated virus (“AAV”), which are relatively new approaches used for disease treatment, also have known side effects, and for which additional risks could develop in the future. In past clinical trials that were conducted by others with non-AAV vectors, significant side effects were caused by gene therapy treatments, including reported cases of myelodysplasia, leukemia and death. Other potential side effects could include an immunologic reaction and insertional oncogenesis, which is the process whereby the insertion of a functional gene near a gene that is important in cell growth or division results in uncontrolled cell division, which could potentially enhance the risk of cancer. If the vectors we use demonstrate a similar side effect, or other adverse events, we may be required to halt or delay further clinical development of any potential product candidates. Such delayed adverse events may also occur in other viral vectors, including AAV vectors.</w:t>
      </w:r>
    </w:p>
    <w:p>
      <w:pPr>
        <w:spacing w:after="0" w:line="99"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In addition to side effects and adverse events caused by our product candidates, the conditioning, administration process or related procedures which may be used to condition a patient for gene therapy treatment also can cause adverse side effects and adverse events. A gene therapy patient is generally administered cytotoxic drugs to remove stem cells from the bone marrow to create sufficient space in the bone marrow for the modified stem cells to engraft and produce new cells. This procedure compromises the patient’s immune system, and conditioning regimens have been associated with adverse events in clinical trial participants.</w:t>
      </w:r>
    </w:p>
    <w:p>
      <w:pPr>
        <w:spacing w:after="0" w:line="109"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Additionally, if we successfully develop a product candidate and it receives regulatory approval, the FDA could require us to adopt a Risk Evaluation and Mitigation Strategy (“REMS”) to ensure that the benefits of treatment with such product candidate outweighs the risks for each potential patient, which may include, among other things, a medication guide outlining the risks of the product for distribution to patients, a communication plan</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to healthcare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may develop that receives regulatory approval, several potentially significant negative consequences could result, including:</w:t>
      </w:r>
    </w:p>
    <w:p>
      <w:pPr>
        <w:spacing w:after="0" w:line="106" w:lineRule="exact"/>
        <w:rPr>
          <w:sz w:val="20"/>
          <w:szCs w:val="20"/>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revoke licenses or suspend, vary or withdraw approvals of such product candidate;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change the way a product candidate is administered or conduct additional clinical trials;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44"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Any of these events could prevent us from achieving or maintaining market acceptance of our genome editing technology and any product candidates we may identify and develop and could have a material adverse effect on our business, financial condition, results of operations and prospects.</w:t>
      </w:r>
    </w:p>
    <w:p>
      <w:pPr>
        <w:spacing w:after="0" w:line="103"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b w:val="1"/>
          <w:bCs w:val="1"/>
          <w:i w:val="1"/>
          <w:iCs w:val="1"/>
          <w:color w:val="auto"/>
        </w:rPr>
        <w:t>Positive results from early preclinical studies of any product candidates we may develop may not necessarily be predictive of the results of later preclinical studies and any future clinical trials of such product candidates. If we cannot replicate the positive results from our earlier preclinical studies of any product candidates we may develop in our later preclinical studies and future clinical trials, we may be unable to successfully develop, obtain regulatory approval for and commercialize such product candidates.</w:t>
      </w:r>
    </w:p>
    <w:p>
      <w:pPr>
        <w:spacing w:after="0" w:line="8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Any positive results from our preclinical studies of any product candidates we may develop may not necessarily be predictive of the results from later preclinical studies and clinical trials of such product candidates. Similarly, even if we are able to complete our planned preclinical studies or any future clinical trials of any product candidates we may develop according to our current development timeline, the positive results from such preclinical studies and clinical trials of our product candidates may not be replicated in subsequent preclinical studies or clinical trial results.</w:t>
      </w:r>
    </w:p>
    <w:p>
      <w:pPr>
        <w:spacing w:after="0" w:line="109"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also consider additional delivery modes, which may carry additional known and unknown risks.</w:t>
      </w:r>
    </w:p>
    <w:p>
      <w:pPr>
        <w:spacing w:after="0" w:line="129"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We may also consider additional delivery modes, which may carry additional known and unknown risks. For example, we intend to use lipid nanoparticles (“LNPs”) to deliver our nucleases. While LNPs have been used to deliver smaller molecules, such as small interfering RNA (“siRNA”), they have not been clinically proven to deliver large RNA molecules. Furthermore, as with many AAV-mediated gene therapy approaches, certain patients’ immune systems might prohibit the successful delivery, thereby potentially limiting treatment outcomes of these patients. Even if initial clinical trials in any of our potential product candidates we may develop are successful, these product candidates we may develop may fail to show the desired safety and efficacy in later stages of clinical development despite having successfully advanced through preclinical studies and initial clinical trials.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jc w:val="both"/>
        <w:ind w:left="120" w:right="100"/>
        <w:spacing w:after="0" w:line="249" w:lineRule="auto"/>
        <w:rPr>
          <w:sz w:val="20"/>
          <w:szCs w:val="20"/>
          <w:color w:val="auto"/>
        </w:rPr>
      </w:pPr>
      <w:r>
        <w:rPr>
          <w:rFonts w:ascii="Arial" w:cs="Arial" w:eastAsia="Arial" w:hAnsi="Arial"/>
          <w:sz w:val="18"/>
          <w:szCs w:val="18"/>
          <w:b w:val="1"/>
          <w:bCs w:val="1"/>
          <w:i w:val="1"/>
          <w:iCs w:val="1"/>
          <w:color w:val="auto"/>
        </w:rPr>
        <w:t>We may find it difficult to enroll patients in our future clinical trials given the limited number of patients who have the diseases any product candidates we identify or develop are intended to target. If we experience delays or difficulties in the enrollment of patients in clinical trials, our clinical development activities and our receipt of necessary regulatory approvals could be delayed or prevented.</w:t>
      </w:r>
    </w:p>
    <w:p>
      <w:pPr>
        <w:spacing w:after="0" w:line="98" w:lineRule="exact"/>
        <w:rPr>
          <w:sz w:val="20"/>
          <w:szCs w:val="20"/>
          <w:color w:val="auto"/>
        </w:rPr>
      </w:pPr>
    </w:p>
    <w:p>
      <w:pPr>
        <w:jc w:val="both"/>
        <w:ind w:left="120" w:right="160"/>
        <w:spacing w:after="0" w:line="255" w:lineRule="auto"/>
        <w:rPr>
          <w:sz w:val="20"/>
          <w:szCs w:val="20"/>
          <w:color w:val="auto"/>
        </w:rPr>
      </w:pPr>
      <w:r>
        <w:rPr>
          <w:rFonts w:ascii="Arial" w:cs="Arial" w:eastAsia="Arial" w:hAnsi="Arial"/>
          <w:sz w:val="17"/>
          <w:szCs w:val="17"/>
          <w:color w:val="auto"/>
        </w:rPr>
        <w:t>As we progress our programs, we may not be able to initiate or continue clinical trials for any product candidates we identify or develop if we are unable to locate and enroll a sufficient number of eligible patients to participate in these trials as required by the FDA, the EMA or other comparable regulatory authorities outside the United States, or as needed to provide appropriate statistical power for a given trial.</w:t>
      </w:r>
    </w:p>
    <w:p>
      <w:pPr>
        <w:spacing w:after="0" w:line="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Enrollment may be particularly challenging for some of the rare genetically defined diseases we are targeting in some of our discovery programs. In addition, if patients are unwilling to participate in our genome editing trials because of negative publicity from adverse events related to the biotechnology, gene therapy or genome editing fields, competitive clinical trials for similar patient populations, clinical trials in competing product candidates or for other reasons, the timeline for recruiting patients, conducting studies and obtaining regulatory approval of our potential product candidates may be delayed. Moreover, some of our competitors may have ongoing clinical trials for product candidates that would treat the same indications as our potential product candidates, and patients who would otherwise be eligible for our future clinical trials may instead enroll in clinical trials of our competitors’ product candidates.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Patient enrollment is also affected by other factors, some of which may include:</w:t>
      </w:r>
    </w:p>
    <w:p>
      <w:pPr>
        <w:spacing w:after="0" w:line="144" w:lineRule="exact"/>
        <w:rPr>
          <w:sz w:val="20"/>
          <w:szCs w:val="20"/>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44" w:lineRule="exact"/>
        <w:rPr>
          <w:rFonts w:ascii="Arial" w:cs="Arial" w:eastAsia="Arial" w:hAnsi="Arial"/>
          <w:sz w:val="18"/>
          <w:szCs w:val="18"/>
          <w:color w:val="auto"/>
        </w:rPr>
      </w:pPr>
    </w:p>
    <w:p>
      <w:pPr>
        <w:ind w:left="340" w:right="80" w:hanging="224"/>
        <w:spacing w:after="0" w:line="271"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 including proximity and availability of clinical trial sites for prospective patients with conditions that have small patient pools;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 of the trial protocol, including efforts to facilitate timely enrollment in clinical trials;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 and ability to monitor patients adequately during and after treatment;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ability to obtain and maintain patient informed consent;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eligibility and exclusion criteria for the trial in question;</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trial and genome editing as a therapeutic approach;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31"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In addition, our ability to successfully initiate, enroll and complete a clinical trial in any foreign country is subject to numerous risks unique to conducting business in foreign countries, some of which may include:</w:t>
      </w:r>
    </w:p>
    <w:p>
      <w:pPr>
        <w:spacing w:after="0" w:line="86" w:lineRule="exact"/>
        <w:rPr>
          <w:sz w:val="20"/>
          <w:szCs w:val="20"/>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clinical research organizations (“CROs”) and physicians;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 standard-of-care for patients with a particular disease;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in locating qualified local consultants, physicians and partners; and</w:t>
      </w:r>
    </w:p>
    <w:p>
      <w:pPr>
        <w:spacing w:after="0" w:line="144" w:lineRule="exact"/>
        <w:rPr>
          <w:rFonts w:ascii="Arial" w:cs="Arial" w:eastAsia="Arial" w:hAnsi="Arial"/>
          <w:sz w:val="18"/>
          <w:szCs w:val="18"/>
          <w:color w:val="auto"/>
        </w:rPr>
      </w:pPr>
    </w:p>
    <w:p>
      <w:pPr>
        <w:ind w:left="340" w:right="120" w:hanging="224"/>
        <w:spacing w:after="0" w:line="271"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burden of complying with a variety of foreign laws, medical standards and regulatory requirements, including the regulation of pharmaceutical and biotechnology products and treatment and of genome editing technologies.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Enrollment delays in our future clinical trials may result in increased development costs for our potential product candidates, which would cause the value of our company to decline and limit our ability to obtain additional financing. If we or our collaborators have difficulty enrolling a sufficient number of patients to conduct our future clinical trials as planned, we may need to delay, limit or terminate ongoing or planned clinical trials or entire clinical programs, any of which would have an adverse effect on our business, financial condition, results of operations and prospects.</w:t>
      </w:r>
    </w:p>
    <w:p>
      <w:pPr>
        <w:spacing w:after="0" w:line="111"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i w:val="1"/>
          <w:iCs w:val="1"/>
          <w:color w:val="auto"/>
        </w:rPr>
        <w:t>Genetic therapies are novel, and any product candidates we develop may be complex and difficult to manufacture. We could experience delays in satisfying regulatory authorities or production problems that result in delays in our development programs, limit the supply of the product candidates we may develop or otherwise harm our business.</w:t>
      </w:r>
    </w:p>
    <w:p>
      <w:pPr>
        <w:spacing w:after="0" w:line="92" w:lineRule="exact"/>
        <w:rPr>
          <w:sz w:val="20"/>
          <w:szCs w:val="20"/>
          <w:color w:val="auto"/>
        </w:rPr>
      </w:pPr>
    </w:p>
    <w:p>
      <w:pPr>
        <w:ind w:left="120" w:right="40"/>
        <w:spacing w:after="0" w:line="253" w:lineRule="auto"/>
        <w:rPr>
          <w:sz w:val="20"/>
          <w:szCs w:val="20"/>
          <w:color w:val="auto"/>
        </w:rPr>
      </w:pPr>
      <w:r>
        <w:rPr>
          <w:rFonts w:ascii="Arial" w:cs="Arial" w:eastAsia="Arial" w:hAnsi="Arial"/>
          <w:sz w:val="17"/>
          <w:szCs w:val="17"/>
          <w:color w:val="auto"/>
        </w:rPr>
        <w:t>Any product candidates we may develop will likely require processing steps that are more complex than those required for most chemical pharmaceuticals. Moreover, unlike chemical pharmaceuticals, the physical and chemical properties of a biologic such as the product candidates we intend to develop generally cannot be fully characterized. As a result, assays of the finished product candidate may not be sufficient to ensure that the product candidate will perform in the intended manner. Problems with the manufacturing process, even minor deviations from the normal process, could result in product defects or manufacturing failures that result in lot failures, product recalls, product liability claims, insufficient inventory or potentially delay progression of our potential IND filings. If we successfully develop product candidates, we may encounter problems achieving adequate quantities and quality of clinical-grade materials that meet the FDA, the EMA or other comparable applicable foreign standards or specifications with consistent and acceptable production yields and costs. For example, the current approach of manufacturing AAV vectors may fall short of supplying required number of doses needed for advanced stages of preclinical studies or clinical trials, and the FDA may ask us to demonstrate that we have the appropriate manufacturing processes in place to support the higher-dose group in our preclinical studies or clinical trials. In addition, any product candidates we may develop will require complicated delivery methods, each of which will introduce additional complexities in the manufacturing process.</w:t>
      </w:r>
    </w:p>
    <w:p>
      <w:pPr>
        <w:spacing w:after="0" w:line="9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In addition, the FDA, the EMA and other regulatory authorities may require us to submit samples of any lot of any approved product together with the protocols showing the results of applicable tests at any time. Under some circumstances, the FDA, the EMA or other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Given the nature of biologics manufacturing there is a risk of contamination during manufacturing. Any contamination could materially harm our ability to produce product candidates on schedule and could harm our results of operations and cause reputational damage. Some of the raw materials that we anticipate will be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Any problems in our manufacturing process or the facilities with which we contract could make us a less attractive collaborator for potential partners, including larger pharmaceutical companies and academic</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research institutions, which could limit our access to additional attractive development programs. Problems in third-party manufacturing process or facilities also could restrict our ability to ensure sufficient clinical material for any clinical trials we may be conducting or are planning to conduct and meet market demand for any product candidates we develop and commercialize.</w:t>
      </w:r>
    </w:p>
    <w:p>
      <w:pPr>
        <w:spacing w:after="0" w:line="103" w:lineRule="exact"/>
        <w:rPr>
          <w:sz w:val="20"/>
          <w:szCs w:val="20"/>
          <w:color w:val="auto"/>
        </w:rPr>
      </w:pPr>
    </w:p>
    <w:p>
      <w:pPr>
        <w:ind w:left="120" w:right="40"/>
        <w:spacing w:after="0" w:line="249"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9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 development and commercialization of new drug products is highly competitive. Moreover, the genome editing field is characterized by rapidly changing technologies, significant competition and a strong emphasis on intellectual property.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or other intellectual property protection and establish collaborative arrangements for research, development, manufacturing and commercialization.</w:t>
      </w:r>
    </w:p>
    <w:p>
      <w:pPr>
        <w:spacing w:after="0" w:line="98" w:lineRule="exact"/>
        <w:rPr>
          <w:sz w:val="20"/>
          <w:szCs w:val="20"/>
          <w:color w:val="auto"/>
        </w:rPr>
      </w:pPr>
    </w:p>
    <w:p>
      <w:pPr>
        <w:jc w:val="both"/>
        <w:ind w:left="120" w:right="260"/>
        <w:spacing w:after="0" w:line="247" w:lineRule="auto"/>
        <w:rPr>
          <w:sz w:val="20"/>
          <w:szCs w:val="20"/>
          <w:color w:val="auto"/>
        </w:rPr>
      </w:pPr>
      <w:r>
        <w:rPr>
          <w:rFonts w:ascii="Arial" w:cs="Arial" w:eastAsia="Arial" w:hAnsi="Arial"/>
          <w:sz w:val="18"/>
          <w:szCs w:val="18"/>
          <w:color w:val="auto"/>
        </w:rPr>
        <w:t>There are a number of large pharmaceutical and biotechnology companies that currently market and sell products or are pursuing the development of products for the treatment of the disease indications for which we have research programs. Some of these competitive products and therapies are based on scientific approaches that are the same as or similar to our approach, while others are based on entirely different approaches.</w:t>
      </w:r>
    </w:p>
    <w:p>
      <w:pPr>
        <w:spacing w:after="0" w:line="106"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Amongst publicly traded peers, there are several companies utilizing CRISPR/Cas technology, including Caribou Biosciences, Inc., Editas Medicine, Inc., CRISPR Therapeutics AG, Intellia Therapeutics, Inc. and Graphite Bio, Inc. Several additional companies such as Sangamo Therapeutics, Inc., Precision BioSciences, Inc., bluebird bio, Inc., and Cellectis Inc. utilize alternative nuclease-based genome editing technologies, including zinc finger nucleases (“ZFNs”), engineered meganucleases and transcription-activator like effector nucleases (“TALENs”). Beam Therapeutics utilizes base editing technology. Prime Medicine utilizes prime editing technology.</w:t>
      </w:r>
    </w:p>
    <w:p>
      <w:pPr>
        <w:spacing w:after="0" w:line="109"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In addition, other private companies such as Tessera Therapeutics, Inc. and Tome Biosciences, Inc. have announced their work in recombinase DNA and RNA gene writers, although little is known publicly about their science or portfolio. Other companies have announced intentions to enter the genome editing field, such as Moderna, Inc. and Pfizer Inc. Most recently, new epigenetic editing companies have emerged, such as Chroma Medicine, Inc. and Tune Therapeutics, Inc. In addition, we face competition from companies utilizing gene therapy, oligonucleotides and cell therapy therapeutic approaches.</w:t>
      </w:r>
    </w:p>
    <w:p>
      <w:pPr>
        <w:spacing w:after="0" w:line="95"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Several private companies such as Arbor Biotechnologies, Inc., Scribe Therapeutics Inc., and Mammoth Biosciences, Inc. are actively searching for novel genome editing components and have reported the discovery of new DNA-cutting enzymes. Other companies are active in LNP delivery technologies and advancing those into therapeutics using genetic therapies, including Recode Therapeutics, Inc., Verve Therapeutics, Inc., Generation Bio Co. and Beam Therapeutics, among others.</w:t>
      </w:r>
    </w:p>
    <w:p>
      <w:pPr>
        <w:spacing w:after="0" w:line="106"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8"/>
          <w:szCs w:val="18"/>
          <w:color w:val="auto"/>
        </w:rPr>
        <w:t>Any product candidates that we successfully develop and commercialize will compete with existing therapies and new therapies that may become available in the future that are approved to treat the same diseases for which we may obtain approval for any product candidates we may develop. This may include other types of therapies, such as small molecule, antibody and/or protein therapies.</w:t>
      </w:r>
    </w:p>
    <w:p>
      <w:pPr>
        <w:spacing w:after="0" w:line="101" w:lineRule="exact"/>
        <w:rPr>
          <w:sz w:val="20"/>
          <w:szCs w:val="20"/>
          <w:color w:val="auto"/>
        </w:rPr>
      </w:pPr>
    </w:p>
    <w:p>
      <w:pPr>
        <w:ind w:left="120" w:right="240"/>
        <w:spacing w:after="0" w:line="244" w:lineRule="auto"/>
        <w:rPr>
          <w:sz w:val="20"/>
          <w:szCs w:val="20"/>
          <w:color w:val="auto"/>
        </w:rPr>
      </w:pPr>
      <w:r>
        <w:rPr>
          <w:rFonts w:ascii="Arial" w:cs="Arial" w:eastAsia="Arial" w:hAnsi="Arial"/>
          <w:sz w:val="18"/>
          <w:szCs w:val="18"/>
          <w:color w:val="auto"/>
        </w:rPr>
        <w:t>Many of our current or potential competitors, either alone or with their collaboration partners, may have significantly greater financial resources and expertise in research and development, manufacturing, conducting preclinical studies and clinical trials, obtaining regulatory approvals and marketing approved products than we do. Mergers and acquisitions in the pharmaceutical, biotechnology and gene therapy industries may result in even more resources being concentrated among a smaller number of our competitors. Smaller or early-stage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60"/>
          </w:cols>
          <w:pgMar w:left="320" w:top="455" w:right="5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or that would render any product candidates that we may develop obsolete or non-competitive. Our competitors also may obtain FDA or other regulatory approval for their product candidates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may develop against competitors.</w:t>
      </w:r>
    </w:p>
    <w:p>
      <w:pPr>
        <w:spacing w:after="0" w:line="112"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color w:val="auto"/>
        </w:rPr>
        <w:t>In addition, as a result of the expiration or successful challenge of our patent or other intellectual property rights, we could face risks relating to our ability to successfully prevent or delay launch of competitors’ products. The availability of our competitors’ products could limit the demand and the price we are able to charge for any product candidates that we may develop and commercialize.</w:t>
      </w:r>
    </w:p>
    <w:p>
      <w:pPr>
        <w:spacing w:after="0" w:line="103" w:lineRule="exact"/>
        <w:rPr>
          <w:sz w:val="20"/>
          <w:szCs w:val="20"/>
          <w:color w:val="auto"/>
        </w:rPr>
      </w:pPr>
    </w:p>
    <w:p>
      <w:pPr>
        <w:ind w:left="120" w:right="380"/>
        <w:spacing w:after="0" w:line="278" w:lineRule="auto"/>
        <w:rPr>
          <w:sz w:val="20"/>
          <w:szCs w:val="20"/>
          <w:color w:val="auto"/>
        </w:rPr>
      </w:pPr>
      <w:r>
        <w:rPr>
          <w:rFonts w:ascii="Arial" w:cs="Arial" w:eastAsia="Arial" w:hAnsi="Arial"/>
          <w:sz w:val="18"/>
          <w:szCs w:val="18"/>
          <w:b w:val="1"/>
          <w:bCs w:val="1"/>
          <w:i w:val="1"/>
          <w:iCs w:val="1"/>
          <w:color w:val="auto"/>
        </w:rPr>
        <w:t>Adverse public perception of genome editing and cellular therapy products may negatively impact demand for, or regulatory approval of, any product candidates we may develop.</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product candidates we may develop will involve editing the human genome. The clinical and commercial success of any product candidates we may develop will depend in part on public acceptance of the use of genome editing therapies for the prevention or treatment of human diseases. Public attitudes may be influenced by claims that genome editing is unsafe, unethical, or immoral, and, consequently, our products may not gain the acceptance of the public or the medical community. Negative public reaction to gene therapy in general could result in greater government regulation and stricter labeling requirements of genome editing products, including any of our product candidates, and could cause a decrease in the demand for any products we may develop. Adverse public attitudes may adversely impact our ability to enroll clinical trials. Additionally, ethical, social and legal concerns about genome editing and gene therapy could result in additional regulations restricting or prohibiting any product candidates we may develop.</w:t>
      </w:r>
    </w:p>
    <w:p>
      <w:pPr>
        <w:spacing w:after="0" w:line="115" w:lineRule="exact"/>
        <w:rPr>
          <w:sz w:val="20"/>
          <w:szCs w:val="20"/>
          <w:color w:val="auto"/>
        </w:rPr>
      </w:pPr>
    </w:p>
    <w:p>
      <w:pPr>
        <w:ind w:left="120" w:right="240"/>
        <w:spacing w:after="0" w:line="278" w:lineRule="auto"/>
        <w:rPr>
          <w:sz w:val="20"/>
          <w:szCs w:val="20"/>
          <w:color w:val="auto"/>
        </w:rPr>
      </w:pPr>
      <w:r>
        <w:rPr>
          <w:rFonts w:ascii="Arial" w:cs="Arial" w:eastAsia="Arial" w:hAnsi="Arial"/>
          <w:sz w:val="18"/>
          <w:szCs w:val="18"/>
          <w:b w:val="1"/>
          <w:bCs w:val="1"/>
          <w:i w:val="1"/>
          <w:iCs w:val="1"/>
          <w:color w:val="auto"/>
        </w:rPr>
        <w:t>The commercial success of any of the product candidates we may develop will depend upon the degree of market acceptance by physicians, patients, third-party payors and others in the medical community.</w:t>
      </w:r>
    </w:p>
    <w:p>
      <w:pPr>
        <w:spacing w:after="0" w:line="72"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Even if we obtain the requisite approvals from the FDA in the United States, the EMA in the European Union and other regulatory authorities internationally, the commercial success of any product candidates we may develop will depend, in part, on the acceptance of physicians, patients and health care payors of genome editing and gene therapy products in general, and our product candidates in particular, as medically necessary, cost-effective and safe. Any product that we commercialize may not gain acceptance by physicians, patients, health care payors and others in the medical community who may opt for existing treatments with which they are already familiar and for which greater clinical data may be available. The degree of market acceptance of genome editing and gene therapy products and, in particular, any product candidates we may develop, if approved for commercial sale, will depend on several factors, including:</w:t>
      </w:r>
    </w:p>
    <w:p>
      <w:pPr>
        <w:spacing w:after="0" w:line="117" w:lineRule="exact"/>
        <w:rPr>
          <w:sz w:val="20"/>
          <w:szCs w:val="20"/>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durability and safety of such product candidates as demonstrated in any future clinical trials;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and perceived advantages of such product candidates over alternative treatments;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the FDA, the EMA or other regulatory authorities;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awareness of, and willingness to seek, genotyping;</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physicians to prescribe new therapies;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44" w:lineRule="exact"/>
        <w:rPr>
          <w:rFonts w:ascii="Arial" w:cs="Arial" w:eastAsia="Arial" w:hAnsi="Arial"/>
          <w:sz w:val="18"/>
          <w:szCs w:val="18"/>
          <w:color w:val="auto"/>
        </w:rPr>
      </w:pPr>
    </w:p>
    <w:p>
      <w:pPr>
        <w:ind w:left="340" w:right="760" w:hanging="224"/>
        <w:spacing w:after="0" w:line="27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the EMA or other regulatory authorities, including any limitations or warnings contained in a product’s approved labeling;</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sufficient third-party payor coverage and reimbursement.</w:t>
      </w:r>
    </w:p>
    <w:p>
      <w:pPr>
        <w:spacing w:after="0" w:line="144" w:lineRule="exact"/>
        <w:rPr>
          <w:sz w:val="20"/>
          <w:szCs w:val="20"/>
          <w:color w:val="auto"/>
        </w:rPr>
      </w:pPr>
    </w:p>
    <w:p>
      <w:pPr>
        <w:jc w:val="both"/>
        <w:ind w:left="120" w:right="40"/>
        <w:spacing w:after="0" w:line="275" w:lineRule="auto"/>
        <w:rPr>
          <w:sz w:val="20"/>
          <w:szCs w:val="20"/>
          <w:color w:val="auto"/>
        </w:rPr>
      </w:pPr>
      <w:r>
        <w:rPr>
          <w:rFonts w:ascii="Arial" w:cs="Arial" w:eastAsia="Arial" w:hAnsi="Arial"/>
          <w:sz w:val="17"/>
          <w:szCs w:val="17"/>
          <w:color w:val="auto"/>
        </w:rPr>
        <w:t>Even if a potential product displays a favorable efficacy and safety profile in preclinical studies and future clinical trials, market acceptance of the product will not be fully known until after it is launched. If any product candidates we may develop do not achieve an adequate level of acceptance following regulatory approval, if ever, we may not generate significant product revenue and may not become profitable.</w:t>
      </w:r>
    </w:p>
    <w:p>
      <w:pPr>
        <w:spacing w:after="0" w:line="86" w:lineRule="exact"/>
        <w:rPr>
          <w:sz w:val="20"/>
          <w:szCs w:val="20"/>
          <w:color w:val="auto"/>
        </w:rPr>
      </w:pPr>
    </w:p>
    <w:p>
      <w:pPr>
        <w:ind w:left="120" w:right="380"/>
        <w:spacing w:after="0" w:line="278"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8"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We have limited financial and managerial resources. As a result, we may forego or delay pursuit of opportunities with other product candidates or for other indications that later prove to have greater commercial potential. Our resource allocation decisions may cause us to fail to timely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19"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products based on our technologies, we may not be successful in commercializing our future product candidates if and when any such product candidates are approved and we may not be able to generate any revenue.</w:t>
      </w:r>
    </w:p>
    <w:p>
      <w:pPr>
        <w:spacing w:after="0" w:line="92"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We do not currently have a sales or marketing infrastructure and, as a company, have no experience in the sale, marketing or distribution of therapeutic products. To achieve commercial success for any potential approved product candidate for which we retain sales and marketing responsibilities, we must build our sales, marketing, managerial and other non-technical capabilities or make arrangements with third parties to perform these services. In the future, we may choose to build a focused sales and marketing infrastructure to sell, or participate in sales activities with our collaborators for, some of our product candidates if and when they are approved.</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Factors that may inhibit our efforts to commercialize our product candidates on our own include:</w:t>
      </w:r>
    </w:p>
    <w:p>
      <w:pPr>
        <w:spacing w:after="0" w:line="144" w:lineRule="exact"/>
        <w:rPr>
          <w:sz w:val="20"/>
          <w:szCs w:val="20"/>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44" w:lineRule="exact"/>
        <w:rPr>
          <w:rFonts w:ascii="Arial" w:cs="Arial" w:eastAsia="Arial" w:hAnsi="Arial"/>
          <w:sz w:val="18"/>
          <w:szCs w:val="18"/>
          <w:color w:val="auto"/>
        </w:rPr>
      </w:pPr>
    </w:p>
    <w:p>
      <w:pPr>
        <w:ind w:left="340" w:right="420" w:hanging="224"/>
        <w:spacing w:after="0" w:line="271"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product that we may develop;</w:t>
      </w:r>
    </w:p>
    <w:p>
      <w:pPr>
        <w:spacing w:after="0" w:line="86" w:lineRule="exact"/>
        <w:rPr>
          <w:rFonts w:ascii="Arial" w:cs="Arial" w:eastAsia="Arial" w:hAnsi="Arial"/>
          <w:sz w:val="18"/>
          <w:szCs w:val="18"/>
          <w:color w:val="auto"/>
        </w:rPr>
      </w:pPr>
    </w:p>
    <w:p>
      <w:pPr>
        <w:ind w:left="340" w:right="400" w:hanging="224"/>
        <w:spacing w:after="0" w:line="271"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lack of complementary treatments to be offered by sales personnel, which may put us at a competitive disadvantage relative to companies with more extensive product lines; and</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44"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If we enter into arrangements with third parties to perform sales, marketing and distribution services, our product revenue or the profitability to us from these revenue streams is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may not be successful in commercializing our product candidates. Further, our business, results of operations, financial condition and prospects will be materially adversely affected.</w:t>
      </w:r>
    </w:p>
    <w:p>
      <w:pPr>
        <w:spacing w:after="0" w:line="101"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any product candidates we may develop to offer therapeutic benefit in a single administration or limited number of administrations, we face uncertainty related to pricing and reimbursement for such product candidates.</w:t>
      </w:r>
    </w:p>
    <w:p>
      <w:pPr>
        <w:spacing w:after="0" w:line="92"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Our initial target patient populations are relatively small, as a result of which the pricing and reimbursement of any product candidates we may develop, if approved, must be adequate to support the necessary commercial infrastructure. If we are unable to obtain adequate levels of reimbursement, our ability to successfully market and sell any such product candidates will be adversely affected. The manner and level at which reimbursement is provided for services related to any product candidates we may develop (e.g., for administration of our product candidate to patients) is also important. Inadequate reimbursement for such services may lead to physician and payor resistance and adversely affect our ability to market or sell our product candidates. In addition, we may need to develop new reimbursement models in order to realize adequate value. Payors may not be able or willing to adopt such new models, and patients may be unable to afford that portion of the cost that such models may require them to bear. If we determine such new models are necessary but we are unsuccessful in developing them, or if such models are not adopted by payors, our business, financial condition, results of operations, and prospects could be adversely affected.</w:t>
      </w:r>
    </w:p>
    <w:p>
      <w:pPr>
        <w:spacing w:after="0" w:line="112" w:lineRule="exact"/>
        <w:rPr>
          <w:sz w:val="20"/>
          <w:szCs w:val="20"/>
          <w:color w:val="auto"/>
        </w:rPr>
      </w:pPr>
    </w:p>
    <w:p>
      <w:pPr>
        <w:ind w:left="120" w:right="340"/>
        <w:spacing w:after="0" w:line="247" w:lineRule="auto"/>
        <w:rPr>
          <w:sz w:val="20"/>
          <w:szCs w:val="20"/>
          <w:color w:val="auto"/>
        </w:rPr>
      </w:pPr>
      <w:r>
        <w:rPr>
          <w:rFonts w:ascii="Arial" w:cs="Arial" w:eastAsia="Arial" w:hAnsi="Arial"/>
          <w:sz w:val="18"/>
          <w:szCs w:val="18"/>
          <w:color w:val="auto"/>
        </w:rPr>
        <w:t>We expect the cost of a single administration of a genome editing therapy, such as those we are seeking to develop, to be substantial, when and if they achieve regulatory approval. We expect that coverage and reimbursement by government and private payors will be essential for most patients to be able to afford these treatments. Accordingly, sales of any such product candidates will depend substantially, both domestically and</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8"/>
          <w:szCs w:val="18"/>
          <w:color w:val="auto"/>
        </w:rPr>
        <w:t>abroad, on the extent to which the costs of any of our product candidates will be paid by government authorities, private health plans, and other third-party payors. Payors may not be willing to pay high prices for a single administration. Coverage and reimbursement by a third-party payor may depend upon several factors, including the third-party payor’s determination that use of a product is:</w:t>
      </w:r>
    </w:p>
    <w:p>
      <w:pPr>
        <w:spacing w:after="0" w:line="101" w:lineRule="exact"/>
        <w:rPr>
          <w:sz w:val="20"/>
          <w:szCs w:val="20"/>
          <w:color w:val="auto"/>
        </w:rPr>
      </w:pP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 w:lineRule="exact"/>
        <w:rPr>
          <w:rFonts w:ascii="Arial" w:cs="Arial" w:eastAsia="Arial" w:hAnsi="Arial"/>
          <w:sz w:val="18"/>
          <w:szCs w:val="18"/>
          <w:color w:val="auto"/>
        </w:rPr>
      </w:pPr>
    </w:p>
    <w:p>
      <w:pPr>
        <w:ind w:left="340" w:hanging="224"/>
        <w:spacing w:after="0" w:line="23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ind w:left="340" w:hanging="224"/>
        <w:spacing w:after="0" w:line="23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ind w:left="340" w:hanging="224"/>
        <w:spacing w:after="0" w:line="23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cost-effective; and</w:t>
      </w: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26"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Obtaining coverage and reimbursement for a product from third-party payors is a time-consuming and costly process that could require us to provide to the payor supporting scientific, clinical, and cost-effectiveness data. There is significant uncertainty related to third-party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 commercialize any of our product candidates. Even if coverage is provided, the approved reimbursement amount may not be adequate to realize a sufficient return on our investment.</w:t>
      </w:r>
    </w:p>
    <w:p>
      <w:pPr>
        <w:spacing w:after="0" w:line="111"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In the United States, no uniform policy exists for coverage and reimbursement for products among third-party payors. Therefore, decisions regarding the extent of coverage and amount of reimbursement to be provided can differ significantly from payor to payor. The process for determining whether a payor will provide coverage for a product may be separate from the process for setting the reimbursement rate a payor will pay for the product. One third-party payor’s decision to cover a particular product or service does not ensure that other payors will also provide coverage for the medical product or service. Third-party payors may limit coverage to specific products on an approved list or formulary, which may not include all FDA-approved products for a particular indication.</w:t>
      </w:r>
    </w:p>
    <w:p>
      <w:pPr>
        <w:spacing w:after="0" w:line="9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Further, third-party payors are increasingly challenging the price and examining the medical necessity and cost-effectiveness of medical products and services, in addition to their safety and efficacy. In order to secure coverage and reimbursement for any product that might be approved for sale, we may need to conduct expensive pharmacoeconomic studies in order to demonstrate the medical necessity and cost-effectiveness of any product candidates we may develop, in addition to the costs required to obtain FDA or comparable regulatory approvals. Additionally, we may also need to provide discounts to purchasers, private health plans or government healthcare programs. Despite our best efforts, any product candidates we may develop may not be considered medically necessary or cost-effective. If third-party payors do not consider a product to be cost-effective compared to other available therapies, they may not cover an approved product as a benefit under their plans or, if they do, the level of payment may not be sufficient to allow us to sell our products at a profit. A decision by a third-party payor not to cover a product could reduce physician utilization once the product is approved and have a material adverse effect on sales, our operations and financial condition. Finally, in some foreign countries, the proposed pricing for a product candidate must be approved before it may be lawfully marketed. The requirements governing product pricing vary widely from country to country. For example, in the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of medicinal products for human use.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53" w:lineRule="auto"/>
        <w:rPr>
          <w:sz w:val="20"/>
          <w:szCs w:val="20"/>
          <w:color w:val="auto"/>
        </w:rPr>
      </w:pPr>
      <w:r>
        <w:rPr>
          <w:rFonts w:ascii="Arial" w:cs="Arial" w:eastAsia="Arial" w:hAnsi="Arial"/>
          <w:sz w:val="18"/>
          <w:szCs w:val="18"/>
          <w:color w:val="auto"/>
        </w:rPr>
        <w:t>controls or reimbursement limitations for products will allow favorable reimbursement and pricing arrangements for any of our product candidates. Even if approved for reimbursement, historically, product candidates launched in some foreign countries, such as some countries in the EU, do not follow price structures of the United States and prices generally tend to be significantly lower.</w:t>
      </w:r>
    </w:p>
    <w:p>
      <w:pPr>
        <w:spacing w:after="0" w:line="103" w:lineRule="exact"/>
        <w:rPr>
          <w:sz w:val="20"/>
          <w:szCs w:val="20"/>
          <w:color w:val="auto"/>
        </w:rPr>
      </w:pPr>
    </w:p>
    <w:p>
      <w:pPr>
        <w:ind w:left="120" w:right="20"/>
        <w:spacing w:after="0" w:line="256" w:lineRule="auto"/>
        <w:rPr>
          <w:sz w:val="20"/>
          <w:szCs w:val="20"/>
          <w:color w:val="auto"/>
        </w:rPr>
      </w:pPr>
      <w:r>
        <w:rPr>
          <w:rFonts w:ascii="Arial" w:cs="Arial" w:eastAsia="Arial" w:hAnsi="Arial"/>
          <w:sz w:val="18"/>
          <w:szCs w:val="18"/>
          <w:b w:val="1"/>
          <w:bCs w:val="1"/>
          <w:i w:val="1"/>
          <w:iCs w:val="1"/>
          <w:color w:val="auto"/>
        </w:rPr>
        <w:t>If we are not able to establish collaborations on a timely basis, on commercially reasonable terms, or at all, we may have to alter, reduce or delay our development and commercialization plans, or increase our expenditures to fund development or commercialization activities at our own expense.</w:t>
      </w:r>
    </w:p>
    <w:p>
      <w:pPr>
        <w:spacing w:after="0" w:line="9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For some of the product candidates we may develop, we may decide to collaborate with other pharmaceutical and biotechnology companies for the development and potential commercialization of those product candidates. We face significant competition in seeking appropriate collaborations and collaborations are complex and time-consuming to negotiate and document.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105"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color w:val="auto"/>
        </w:rPr>
        <w:t>We may also be restricted under existing collaboration agreements from entering into future collaboration agreements on certain terms with potential collaborators. In addition, there have been a significant number of recent business combinations among large pharmaceutical companies that have resulted in a reduced number of potential future collaborators, which further increases competition we face in seeking potential collaborations.</w:t>
      </w:r>
    </w:p>
    <w:p>
      <w:pPr>
        <w:spacing w:after="0" w:line="106"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develop product candidates or bring them to market and generate product revenue.</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29"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Our results of operations could be adversely affected by general conditions in the global economy, geopolitical tensions and in the global financial markets. A severe or prolonged economic downturn or additional global financial and political crises could result in a variety of risks to our business, including weakened demand for any product candidates we develop or our ability to raise additional capital when needed on acceptable terms, if at all. A weak or declining economy could also strain our suppliers or other third parties and create import and export issues, possibly resulting in supply disruption. Any of the foregoing could harm our business and we cannot anticipate all of the ways in which the current economic climate and financial market conditions could adversely impact our business.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i w:val="1"/>
          <w:iCs w:val="1"/>
          <w:color w:val="auto"/>
        </w:rPr>
        <w:t>We face risks related to health epidemics, pandemics and other widespread outbreaks of contagious disease, including the COVID-19 pandemic, which could significantly disrupt our operations, impact our financial results or otherwise adversely impact our business.</w:t>
      </w:r>
    </w:p>
    <w:p>
      <w:pPr>
        <w:spacing w:after="0" w:line="92"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Significant outbreaks of contagious diseases and other adverse public health developments could have a material impact on our business operations and operating results. For example, the spread of COVID-19 has affected segments of the global economy and our operations. As a result of the COVID-19 pandemic or similar public health crises that may arise, we may experience disruptions that could adversely impact our operations, research and development, and as we continue developing, any preclinical studies, clinical trials and manufacturing activities we may conduct, some of which may include:</w:t>
      </w:r>
    </w:p>
    <w:p>
      <w:pPr>
        <w:spacing w:after="0" w:line="109" w:lineRule="exact"/>
        <w:rPr>
          <w:sz w:val="20"/>
          <w:szCs w:val="20"/>
          <w:color w:val="auto"/>
        </w:rPr>
      </w:pPr>
    </w:p>
    <w:p>
      <w:pPr>
        <w:ind w:left="340" w:right="240" w:hanging="224"/>
        <w:spacing w:after="0" w:line="271"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or disruptions in research programs, preclinical studies, clinical trials or IND-enabling studies that we or our collaborators may conduct;</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the EMA and comparable foreign regulatory agencies;</w:t>
      </w:r>
    </w:p>
    <w:p>
      <w:pPr>
        <w:spacing w:after="0" w:line="144" w:lineRule="exact"/>
        <w:rPr>
          <w:rFonts w:ascii="Arial" w:cs="Arial" w:eastAsia="Arial" w:hAnsi="Arial"/>
          <w:sz w:val="18"/>
          <w:szCs w:val="18"/>
          <w:color w:val="auto"/>
        </w:rPr>
      </w:pPr>
    </w:p>
    <w:p>
      <w:pPr>
        <w:ind w:left="340" w:right="380" w:hanging="224"/>
        <w:spacing w:after="0" w:line="25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interruption of, or delays in receiving and distributing, supplies of drug substance and drug product from our contract manufacturing organizations (“CMOs”), to preclinical or clinical research sites or delays or disruptions in any preclinical studies or clinical trials performed by CROs;</w:t>
      </w:r>
    </w:p>
    <w:p>
      <w:pPr>
        <w:spacing w:after="0" w:line="101" w:lineRule="exact"/>
        <w:rPr>
          <w:rFonts w:ascii="Arial" w:cs="Arial" w:eastAsia="Arial" w:hAnsi="Arial"/>
          <w:sz w:val="18"/>
          <w:szCs w:val="18"/>
          <w:color w:val="auto"/>
        </w:rPr>
      </w:pPr>
    </w:p>
    <w:p>
      <w:pPr>
        <w:ind w:left="340" w:right="500" w:hanging="224"/>
        <w:spacing w:after="0" w:line="271"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imposed on our business operations by local, state or federal authorities to address a pandemic or similar public health crises; and</w:t>
      </w:r>
    </w:p>
    <w:p>
      <w:pPr>
        <w:spacing w:after="0" w:line="86" w:lineRule="exact"/>
        <w:rPr>
          <w:rFonts w:ascii="Arial" w:cs="Arial" w:eastAsia="Arial" w:hAnsi="Arial"/>
          <w:sz w:val="18"/>
          <w:szCs w:val="18"/>
          <w:color w:val="auto"/>
        </w:rPr>
      </w:pPr>
    </w:p>
    <w:p>
      <w:pPr>
        <w:ind w:left="340" w:right="300" w:hanging="224"/>
        <w:spacing w:after="0" w:line="25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and cybersecurity and data accessibility or security issues.</w:t>
      </w:r>
    </w:p>
    <w:p>
      <w:pPr>
        <w:spacing w:after="0" w:line="101"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In addition, the trading prices for biopharmaceutical companies have been highly volatile as a result of the COVID-19 pandemic and we may face similar volatility in our stock price after we complete this public offering. We cannot predict the scope and severity of any economic recovery after the COVID-19 pandemic abates, including following any additional “waves” or other intensifying of the pandemic. If we or any of the third parties with whom we engage were to experience additional shutdowns or other business disruptions, our ability to conduct our business in the manner and on the timelines presently planned could be materially and negatively affected, which could have a material adverse impact on our business, financial condition, our results of operations and prospects. Furthermore, the COVID-19 pandemic could exacerbate the other risks described in this section.</w:t>
      </w:r>
    </w:p>
    <w:p>
      <w:pPr>
        <w:spacing w:after="0" w:line="106" w:lineRule="exact"/>
        <w:rPr>
          <w:sz w:val="20"/>
          <w:szCs w:val="20"/>
          <w:color w:val="auto"/>
        </w:rPr>
      </w:pPr>
    </w:p>
    <w:p>
      <w:pPr>
        <w:ind w:left="120" w:right="340"/>
        <w:spacing w:after="0" w:line="278" w:lineRule="auto"/>
        <w:rPr>
          <w:sz w:val="20"/>
          <w:szCs w:val="20"/>
          <w:color w:val="auto"/>
        </w:rPr>
      </w:pPr>
      <w:r>
        <w:rPr>
          <w:rFonts w:ascii="Arial" w:cs="Arial" w:eastAsia="Arial" w:hAnsi="Arial"/>
          <w:sz w:val="18"/>
          <w:szCs w:val="18"/>
          <w:b w:val="1"/>
          <w:bCs w:val="1"/>
          <w:i w:val="1"/>
          <w:iCs w:val="1"/>
          <w:color w:val="auto"/>
        </w:rPr>
        <w:t>Our operations are vulnerable to interruption by disasters, terrorist activity, pandemics and other events beyond our control, which could harm our business.</w:t>
      </w:r>
    </w:p>
    <w:p>
      <w:pPr>
        <w:spacing w:after="0" w:line="72"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Our facilities are located in California. We have not undertaken a systematic analysis of the potential consequences to our business and financial results from a major flood, power loss, terrorist activity, pandemics or other regional or global disasters and generally do not have a recovery plan for such events.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11" w:lineRule="exact"/>
        <w:rPr>
          <w:sz w:val="20"/>
          <w:szCs w:val="20"/>
          <w:color w:val="auto"/>
        </w:rPr>
      </w:pPr>
    </w:p>
    <w:p>
      <w:pPr>
        <w:ind w:left="120" w:right="200"/>
        <w:spacing w:after="0" w:line="256" w:lineRule="auto"/>
        <w:rPr>
          <w:sz w:val="20"/>
          <w:szCs w:val="20"/>
          <w:color w:val="auto"/>
        </w:rPr>
      </w:pPr>
      <w:r>
        <w:rPr>
          <w:rFonts w:ascii="Arial" w:cs="Arial" w:eastAsia="Arial" w:hAnsi="Arial"/>
          <w:sz w:val="18"/>
          <w:szCs w:val="18"/>
          <w:b w:val="1"/>
          <w:bCs w:val="1"/>
          <w:i w:val="1"/>
          <w:iCs w:val="1"/>
          <w:color w:val="auto"/>
        </w:rPr>
        <w:t>We may use artificial intelligence in our business, and challenges with properly managing its use, as well as uncertainty regarding the legal landscape surrounding the use of AI could result in reputational harm, competitive harm, and legal liability, and adversely affect our results of operations.</w:t>
      </w:r>
    </w:p>
    <w:p>
      <w:pPr>
        <w:spacing w:after="0" w:line="78"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We incorporate artificial intelligence (“AI”) solutions into our platform, and these applications may become important in our operations over time. There are significant risks involved in utilizing AI and no assurance can be provided that the usage of such AI will enhance our business or assist our business in being more efficient or profitable. Known risks of AI currently include inaccuracy, bias, toxicity, intellectual property infringement or</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misappropriation, data privacy and cybersecurity and data provenance. In addition, AI may have errors or inadequacies that are not easily detectable. AI may also be subject to data herding and interconnectedness (i.e., multiple market participants utilizing the same data), which may adversely impact our business. If the data used to train AI or the content, analyses, or recommendations that AI applications assist in producing are or are alleged to be deficient, inaccurate, incomplete, overbroad or biased, our business, financial condition, and results of operations may be adversely affected. The legal landscape and subsequent legal protection for the use of AI remains uncertain, and development of the law in this area could impact our ability to enforce our proprietary rights or protect against infringing uses. If we do not have sufficient rights to use the data on which AI relies or to the outputs produced by AI applications, we may incur liability through the violation of certain laws, third-party privacy or other rights or contracts to which we are a party. Our use of AI applications may also, in the future, result in cybersecurity incidents that implicate the personal data of customers or patients. Any such cybersecurity incidents related to our use of AI applications could adversely affect our reputation and results of operations.</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Regulatory, Legal, and Clinical Trials</w:t>
      </w:r>
    </w:p>
    <w:p>
      <w:pPr>
        <w:spacing w:after="0" w:line="137" w:lineRule="exact"/>
        <w:rPr>
          <w:sz w:val="20"/>
          <w:szCs w:val="20"/>
          <w:color w:val="auto"/>
        </w:rPr>
      </w:pPr>
    </w:p>
    <w:p>
      <w:pPr>
        <w:ind w:left="120" w:right="220"/>
        <w:spacing w:after="0" w:line="268" w:lineRule="auto"/>
        <w:rPr>
          <w:sz w:val="20"/>
          <w:szCs w:val="20"/>
          <w:color w:val="auto"/>
        </w:rPr>
      </w:pPr>
      <w:r>
        <w:rPr>
          <w:rFonts w:ascii="Arial" w:cs="Arial" w:eastAsia="Arial" w:hAnsi="Arial"/>
          <w:sz w:val="17"/>
          <w:szCs w:val="17"/>
          <w:b w:val="1"/>
          <w:bCs w:val="1"/>
          <w:i w:val="1"/>
          <w:iCs w:val="1"/>
          <w:color w:val="auto"/>
        </w:rPr>
        <w:t>While we intend to seek designations for our potential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potential product candidates are granted such designations, we may not be able to realize the intended benefits of such designations.</w:t>
      </w:r>
    </w:p>
    <w:p>
      <w:pPr>
        <w:spacing w:after="0" w:line="8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potential product candidates. In addition, while such designations could expedite the development or approval process, they generally do not change the standards for approval. Even if we obtain such designations for one or more of our potential product candidates, there can be no assurance that we will realize their intended benefits. For example, we may seek fast track designation for some of our potential product candidates. If a therapy is intended for the treatment of a serious or life threatening condition and the therapy nonclinical or clinical data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Additionally, we may seek a breakthrough therapy designation for some of our potential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may also be eligible for accelerated approval. Designation as a breakthrough therapy is within the discretion of the FDA. Accordingly, even if we believe one of our potential product candidates meets the criteria for designation as a breakthrough therapy, the FDA may disagree and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0" w:lineRule="auto"/>
        <w:rPr>
          <w:sz w:val="20"/>
          <w:szCs w:val="20"/>
          <w:color w:val="auto"/>
        </w:rPr>
      </w:pPr>
      <w:r>
        <w:rPr>
          <w:rFonts w:ascii="Arial" w:cs="Arial" w:eastAsia="Arial" w:hAnsi="Arial"/>
          <w:sz w:val="17"/>
          <w:szCs w:val="17"/>
          <w:color w:val="auto"/>
        </w:rPr>
        <w:t>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potential product candidates qualify as breakthrough therapies, the FDA may later decide that such product candidates no longer meet the conditions for qualification. In addition, we may seek a regenerative medicine advanced therapy (“RMAT”) designation for some of our potential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biologics license application (“BLA”) for an RMAT may be eligible for priority review or accelerated approval through</w:t>
      </w:r>
    </w:p>
    <w:p>
      <w:pPr>
        <w:spacing w:after="0" w:line="7" w:lineRule="exact"/>
        <w:rPr>
          <w:sz w:val="20"/>
          <w:szCs w:val="20"/>
          <w:color w:val="auto"/>
        </w:rPr>
      </w:pPr>
    </w:p>
    <w:p>
      <w:pPr>
        <w:ind w:left="120" w:hanging="4"/>
        <w:spacing w:after="0" w:line="235" w:lineRule="auto"/>
        <w:tabs>
          <w:tab w:leader="none" w:pos="3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trials,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potential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potential product candidates qualify as for RMAT designation, the FDA may later decide that the biological products no longer meet the conditions for qualification. We may also seek rare pediatric disease designation for some of our potential product candidates. The FDA defines “rare pediatric disease” as a (i) serious or life-threatening disease in which the serious or life-threatening manifestations primarily affect individuals aged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(“PRV”) at the time the application is approved. Under the U.S. Federal Food, Drug, and Cosmetic Act (“FDCA”), we will need to request a rare pediatric disease PRV in our original marketing application for any potential product candidates for which we have received rare pediatric disease designation. The FDA may determine that a marketing application for any such product candidates, if approved, does not meet the eligibility criteria for a PRV. Under the current statutory sunset provisions, after September 30, 2024, the FDA may only award a PRV for an approved rare pediatric disease product application if the sponsor has rare pediatric disease designation for the drug or biologic that is the subject of such application, and that designation was granted by September 30, 2024. After September 30, 2026, the FDA may not award any rare pediatric disease PRVs. However, it is possible the authority for FDA to award rare pediatric disease PRV will be further extended by Congress. As such, if we do not obtain approval of a marketing application for any of our potential product candidates on or before September 30, 2026, and if the PRV program is not extended by Congressional action, we may not receive a PRV.</w:t>
      </w:r>
    </w:p>
    <w:p>
      <w:pPr>
        <w:spacing w:after="0" w:line="126"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In the future, we may also seek approval of product candidates under the FDA’s accelerated approval pathway. A product may be eligible for accelerated approval if it is designed to treat a serious or life-threatening disease or condition and generally provides a meaningful advantage over available therapies upon a determination that the</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product candidate has an effect on a surrogate endpoint or intermediate clinical endpoint that is reasonably likely to predict clinical benefit or on a clinical endpoint that can be measured earlier than irreversible morbidity or mortality (“IMM”) that is reasonably likely to predict an effect on IMM or other clinical benefit. The FDA considers a clinical benefit to be a positive therapeutic effect that is clinically meaningful in the context of a given disease, such as IMM.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clinical benefit. Under the Food and Drug Omnibus Reform Act of 2022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There can be no assurance that the FDA would allow any of the product candidates we may develop to proceed on an accelerated approval pathway, and even if the FDA did allow such pathway, there can be no assurance that such submission or application will be accepted or that any expedited development, review or approval will be granted on a timely basis, or at all. Moreover, even if we received accelerated approval, any post-approval studies required to confirm and verify clinical benefit may not show such benefit, which could lead to withdrawal of any approvals we have obtained. Receiving accelerated approval does not assure that the product’s accelerated approval will eventually be converted to a traditional approval.</w:t>
      </w:r>
    </w:p>
    <w:p>
      <w:pPr>
        <w:spacing w:after="0" w:line="124"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the product candidates that we may develop.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in the European Union, we may seek to participate in the PRIority Medicines (“PRIME”) scheme for our potential product candidates. The PRIME scheme is intended to encourage development of products in areas of unmet medical need and provides accelerated assessment of products representing substantial innovation, where the marketing authorization application will be made through the centralized procedure in the European Union. Products from small- and medium-sized enterprises may qualify for earlier entry into the PRIME scheme than larger companies on the basis of compelling non-clinical data and tolerability data from initial clinical trials. Eligible products must target conditions for which there is an unmet medical need (no treatment option exists in the European Union or, they can offer a major therapeutic advantage over existing treatments). Many benefits accrue to sponsors of product candidates with PRIME designation, including but not</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limited to, early and proactive regulatory dialogue with the EMA, frequent discussions on clinical trial designs and other development program elements, and accelerated marketing authorization application assessment once a dossier has been submitted. There is no guarantee, however, that our potential product candidates would be deemed eligible for the PRIME scheme and even if we do participate in the PRIME scheme, where during the course of development a product no longer meets the eligibility criteria, support under the PRIME scheme may be withdrawn. PRIME eligibility does not change the standards for product approval, and there is no assurance that any such designation or eligibility will result in expedited review or approval.</w:t>
      </w:r>
    </w:p>
    <w:p>
      <w:pPr>
        <w:spacing w:after="0" w:line="113" w:lineRule="exact"/>
        <w:rPr>
          <w:sz w:val="20"/>
          <w:szCs w:val="20"/>
          <w:color w:val="auto"/>
        </w:rPr>
      </w:pPr>
    </w:p>
    <w:p>
      <w:pPr>
        <w:jc w:val="both"/>
        <w:ind w:left="120" w:right="60"/>
        <w:spacing w:after="0" w:line="309" w:lineRule="auto"/>
        <w:rPr>
          <w:sz w:val="20"/>
          <w:szCs w:val="20"/>
          <w:color w:val="auto"/>
        </w:rPr>
      </w:pPr>
      <w:r>
        <w:rPr>
          <w:rFonts w:ascii="Arial" w:cs="Arial" w:eastAsia="Arial" w:hAnsi="Arial"/>
          <w:sz w:val="17"/>
          <w:szCs w:val="17"/>
          <w:b w:val="1"/>
          <w:bCs w:val="1"/>
          <w:i w:val="1"/>
          <w:iCs w:val="1"/>
          <w:color w:val="auto"/>
        </w:rPr>
        <w:t>Healthcare and other reform legislation may increase the difficulty and cost for us and any collaborators we may have to obtain regulatory approval of and commercialize any product candidates we may develop and affect the prices we, or they, may obtain.</w:t>
      </w:r>
    </w:p>
    <w:p>
      <w:pPr>
        <w:spacing w:after="0" w:line="4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In the United States and some foreign jurisdictions, there have been and continue to be ongoing efforts to implement legislative and regulatory changes regarding the healthcare system. Such changes could prevent or delay regulatory approval of any product candidates that we may develop, restrict or regulate post-approval activities and affect our ability to profitably sell any product candidates for which we obtain regulatory approval. Although we cannot predict what healthcare or other reform efforts will be successful, such efforts may result in more rigorous coverage criteria, in additional downward pressure on the price that we, or our future collaborators, may receive for any approved products or in other consequences that may adversely affect our ability to achieve or maintain profitability.</w:t>
      </w:r>
    </w:p>
    <w:p>
      <w:pPr>
        <w:spacing w:after="0" w:line="98"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Within the United States, the federal government and individual states have aggressively pursued healthcare reform, as evidenced by the passing of the Affordable Care Act, as amended by the Health Care and Education Reconciliation Act of 2010 (collectively, the “ACA”), and the ongoing efforts to modify or repeal that legislation. The ACA significantly changed the way healthcare is financed by both governmental and private insurers and contains a number of provisions that affect coverage and reimbursement of drug products and/or that could potentially reduce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Other aspects of healthcare reform, such as expanded government enforcement authority and heightened standards that could increase compliance-related costs, could also affect our business. Modifications have been implemented under the former Trump administration and additional modifications or repeal may occur.</w:t>
      </w:r>
    </w:p>
    <w:p>
      <w:pPr>
        <w:spacing w:after="0" w:line="112"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There have also been executive, judicial, and congressional challenges to certain aspects of the ACA. It is unclear how other healthcare reform measures of the Biden administration or other efforts, if any, to challenge, repeal or replace the ACA will impact our business. There is no assurance that federal or state healthcare reform will not adversely affect our future business and financial results, and we cannot predict how future federal or state legislative, judicial or administrative changes relating to healthcare reform will affect our business.</w:t>
      </w:r>
    </w:p>
    <w:p>
      <w:pPr>
        <w:spacing w:after="0" w:line="109"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For example, the American Rescue Plan Act of 2021 eliminates the statutory Medicaid drug rebate cap, currently set at 100 percent of a drug’s average manufacturer price, for single source and innovator multiple source drugs, beginning January 1, 2024. The U.S. Budget Control Act of 2011 and subsequent legislation, among other things, included aggregate reductions of Medicare payments to providers of 2% per fiscal year, which remain in effect through 2032. The American Taxpayer Relief Act of 2012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04"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drug pricing practices, which has resulted in several U.S. Congressional inquiries and federal and state legislation designed to, among other things, bring more transparency to drug pricing, reduce the cost of</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prescription drugs, and review the relationship between pricing and manufacturer patient programs. The Inflation Reduction Act of 2022 (the “IRA”), for example, includes several provisions that may impact our business to varying degrees, including provisions that reduce the out-of-pocket spending cap for Medicare Part D beneficiaries to $2,000 starting in 2025, eliminating the prescription drug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an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effects of the IRA on our business and the healthcare industry in general is not yet known.</w:t>
      </w:r>
    </w:p>
    <w:p>
      <w:pPr>
        <w:spacing w:after="0" w:line="118"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In addition, President Biden has issued multiple executive orders that have sought to reduce prescription drug costs. In February 2023, HHS issued a proposal in response to an October 2022 Biden executive order that proposes a Medicare drug pricing model that will test whether targeted Medicare payment adjustments will sufficiently incentivize manufacturers to complete confirmatory trials for drugs approved through the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01" w:lineRule="exact"/>
        <w:rPr>
          <w:sz w:val="20"/>
          <w:szCs w:val="20"/>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3" w:lineRule="exact"/>
        <w:rPr>
          <w:rFonts w:ascii="Arial" w:cs="Arial" w:eastAsia="Arial" w:hAnsi="Arial"/>
          <w:sz w:val="18"/>
          <w:szCs w:val="18"/>
          <w:color w:val="auto"/>
        </w:rPr>
      </w:pPr>
    </w:p>
    <w:p>
      <w:pPr>
        <w:ind w:left="340" w:hanging="224"/>
        <w:spacing w:after="0" w:line="23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approved products;</w:t>
      </w:r>
    </w:p>
    <w:p>
      <w:pPr>
        <w:ind w:left="340" w:hanging="224"/>
        <w:spacing w:after="0" w:line="23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ind w:left="340" w:hanging="224"/>
        <w:spacing w:after="0" w:line="23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13"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15" w:lineRule="exact"/>
        <w:rPr>
          <w:sz w:val="20"/>
          <w:szCs w:val="20"/>
          <w:color w:val="auto"/>
        </w:rPr>
      </w:pPr>
    </w:p>
    <w:p>
      <w:pPr>
        <w:ind w:left="120" w:right="80"/>
        <w:spacing w:after="0" w:line="256" w:lineRule="auto"/>
        <w:rPr>
          <w:sz w:val="20"/>
          <w:szCs w:val="20"/>
          <w:color w:val="auto"/>
        </w:rPr>
      </w:pPr>
      <w:r>
        <w:rPr>
          <w:rFonts w:ascii="Arial" w:cs="Arial" w:eastAsia="Arial" w:hAnsi="Arial"/>
          <w:sz w:val="18"/>
          <w:szCs w:val="18"/>
          <w:b w:val="1"/>
          <w:bCs w:val="1"/>
          <w:i w:val="1"/>
          <w:iCs w:val="1"/>
          <w:color w:val="auto"/>
        </w:rPr>
        <w:t>Because we are developing product candidates in the field of genetic medicines in which there is little clinical experience, there is increased risk that the FDA, the EMA or other regulatory authorities may not consider the endpoints of our clinical trials to provide clinically meaningful results and that these results may be difficult to analyze.</w:t>
      </w:r>
    </w:p>
    <w:p>
      <w:pPr>
        <w:spacing w:after="0" w:line="78"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In order to proceed into clinical development of any product candidates we identify, we will need to submit INDs or clinical trial applications to regulatory authorities and obtain regulatory clearance to commence clinical</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development. Because the product candidates we identify are based on novel gene-editing technology, we may be unsuccessful in obtaining clearance from regulatory authorities to proceed into clinical development. In order to commence clinical development, we will need to identify success criteria and endpoints such that the FDA, the EMA or other regulatory authorities will be able to determine the clinical efficacy and safety profile of any product candidates we may develop. As we are initially seeking to identify and develop product candidates to treat diseases in which there is little clinical experience using new technologies, and while we may have opportunities to discuss our clinical development plans with regulatory authorities prior to commencing clinical development, there is heightened risk that the FDA, the EMA or other regulatory authorities may not consider the clinical trial endpoints that we propose to provide clinically meaningful results (reflecting a tangible benefit to patients). In addition, the resulting clinical data and results may be difficult to analyze. Even if the FDA does find our success criteria to be sufficiently validated and clinically meaningful, we may not achieve the pre-specified endpoints to a degree of statistical significance. This may be a particularly significant risk for many of the genetically defined diseases for which we plan to develop product candidates because many of these diseases such as PH1 have small patient populations, and designing and executing a rigorous clinical trial with appropriate statistical power is more difficult than with diseases that have larger patient populations. Furthermore,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European Union and other countries may make similar comments with respect to these endpoints and data. Any product candidates we may develop will be based on a novel technology that makes it difficult to predict the time and cost of development and of subsequently obtaining regulatory approval. No genome editing therapeutic product has been approved in the United States or in Europe. Within the broader genome product field, only a limited number of gene therapy products, such as uniQure N.V.’s Glybera and Abecma from Bristol Myers Squibb and bluebird bio, have received marketing authorization or regulatory approval from the European Commission or the FDA. Some of these products have taken years to register and have had to deal with significant issues in their post-marketing experience.</w:t>
      </w:r>
    </w:p>
    <w:p>
      <w:pPr>
        <w:spacing w:after="0" w:line="128" w:lineRule="exact"/>
        <w:rPr>
          <w:sz w:val="20"/>
          <w:szCs w:val="20"/>
          <w:color w:val="auto"/>
        </w:rPr>
      </w:pPr>
    </w:p>
    <w:p>
      <w:pPr>
        <w:ind w:left="120" w:right="120"/>
        <w:spacing w:after="0" w:line="249" w:lineRule="auto"/>
        <w:rPr>
          <w:sz w:val="20"/>
          <w:szCs w:val="20"/>
          <w:color w:val="auto"/>
        </w:rPr>
      </w:pPr>
      <w:r>
        <w:rPr>
          <w:rFonts w:ascii="Arial" w:cs="Arial" w:eastAsia="Arial" w:hAnsi="Arial"/>
          <w:sz w:val="18"/>
          <w:szCs w:val="18"/>
          <w:b w:val="1"/>
          <w:bCs w:val="1"/>
          <w:i w:val="1"/>
          <w:iCs w:val="1"/>
          <w:color w:val="auto"/>
        </w:rPr>
        <w:t>If preclinical studies or clinical trials of any product candidates we may identify and develop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98"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Before obtaining regulatory approval from regulatory authorities for the sale of any product candidates we may identify and develop, we must complete preclinical development and then conduct extensive clinical trials to demonstrate the safety and efficacy in humans.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w:t>
      </w:r>
    </w:p>
    <w:p>
      <w:pPr>
        <w:spacing w:after="0" w:line="95"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Moreover, preclinical and clinical data are often susceptible to varying interpretations and analyses. Many companies that have believed their product candidates performed satisfactorily in preclinical studies and clinical trials have nonetheless failed to obtain regulatory approval of their product candidates.</w:t>
      </w:r>
    </w:p>
    <w:p>
      <w:pPr>
        <w:spacing w:after="0" w:line="101"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We and our collaborators, if any, may experience numerous unforeseen events during, or as a result of, clinical trials that could delay or prevent our ability to receive regulatory approval or commercialize any product candidates we may identify and develop, including:</w:t>
      </w:r>
    </w:p>
    <w:p>
      <w:pPr>
        <w:spacing w:after="0" w:line="86" w:lineRule="exact"/>
        <w:rPr>
          <w:sz w:val="20"/>
          <w:szCs w:val="20"/>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reaching a consensus with regulators on trial design;</w:t>
      </w:r>
    </w:p>
    <w:p>
      <w:pPr>
        <w:spacing w:after="0" w:line="144" w:lineRule="exact"/>
        <w:rPr>
          <w:rFonts w:ascii="Arial" w:cs="Arial" w:eastAsia="Arial" w:hAnsi="Arial"/>
          <w:sz w:val="18"/>
          <w:szCs w:val="18"/>
          <w:color w:val="auto"/>
        </w:rPr>
      </w:pPr>
    </w:p>
    <w:p>
      <w:pPr>
        <w:ind w:left="340" w:right="160" w:hanging="224"/>
        <w:spacing w:after="0" w:line="271"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regulators, IRBs, or independent ethics committees may not authorize us or our investigators to commence a clinical trial or conduct a clinical trial at a prospective trial site;</w:t>
      </w:r>
    </w:p>
    <w:p>
      <w:pPr>
        <w:spacing w:after="0" w:line="86" w:lineRule="exact"/>
        <w:rPr>
          <w:rFonts w:ascii="Arial" w:cs="Arial" w:eastAsia="Arial" w:hAnsi="Arial"/>
          <w:sz w:val="18"/>
          <w:szCs w:val="18"/>
          <w:color w:val="auto"/>
        </w:rPr>
      </w:pPr>
    </w:p>
    <w:p>
      <w:pPr>
        <w:ind w:left="340" w:right="320" w:hanging="224"/>
        <w:spacing w:after="0" w:line="271"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clinical trial contracts or clinical trial protocols with prospective CROs and clinical trial sites;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right="800" w:hanging="224"/>
        <w:spacing w:after="0" w:line="271"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trials of any product candidates we may develop may produce negative or inconclusive results, and we may decide, or regulators may require us, to conduct additional clinical trials or abandon product development or research programs;</w:t>
      </w:r>
    </w:p>
    <w:p>
      <w:pPr>
        <w:spacing w:after="0" w:line="86" w:lineRule="exact"/>
        <w:rPr>
          <w:rFonts w:ascii="Arial" w:cs="Arial" w:eastAsia="Arial" w:hAnsi="Arial"/>
          <w:sz w:val="18"/>
          <w:szCs w:val="18"/>
          <w:color w:val="auto"/>
        </w:rPr>
      </w:pPr>
    </w:p>
    <w:p>
      <w:pPr>
        <w:ind w:left="340" w:right="120" w:hanging="224"/>
        <w:spacing w:after="0" w:line="271"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in designing well-controlled clinical trials due to ethical considerations which may render it inappropriate to conduct a trial with a control arm that can be effectively compared to a treatment arm;</w:t>
      </w:r>
    </w:p>
    <w:p>
      <w:pPr>
        <w:spacing w:after="0" w:line="86"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in designing clinical trials and selecting endpoints for diseases that have not been well-studied and for which the natural history and course of the disease is poorly understood;</w:t>
      </w:r>
    </w:p>
    <w:p>
      <w:pPr>
        <w:spacing w:after="0" w:line="86" w:lineRule="exact"/>
        <w:rPr>
          <w:rFonts w:ascii="Arial" w:cs="Arial" w:eastAsia="Arial" w:hAnsi="Arial"/>
          <w:sz w:val="18"/>
          <w:szCs w:val="18"/>
          <w:color w:val="auto"/>
        </w:rPr>
      </w:pPr>
    </w:p>
    <w:p>
      <w:pPr>
        <w:ind w:left="340" w:right="160" w:hanging="224"/>
        <w:spacing w:after="0" w:line="24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any product candidates we may develop may be larger than we anticipate; enrollment of suitable participants in these clinical trials, which may be particularly challenging for some of the rare genetically defined diseases we are targeting in our most advanced programs, may be delayed or slower than we anticipate; or patients may drop out of these clinical trials at a higher rate than we anticipate;</w:t>
      </w:r>
    </w:p>
    <w:p>
      <w:pPr>
        <w:spacing w:after="0" w:line="106" w:lineRule="exact"/>
        <w:rPr>
          <w:rFonts w:ascii="Arial" w:cs="Arial" w:eastAsia="Arial" w:hAnsi="Arial"/>
          <w:sz w:val="18"/>
          <w:szCs w:val="18"/>
          <w:color w:val="auto"/>
        </w:rPr>
      </w:pPr>
    </w:p>
    <w:p>
      <w:pPr>
        <w:ind w:left="340" w:right="20" w:hanging="224"/>
        <w:spacing w:after="0" w:line="271"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86" w:lineRule="exact"/>
        <w:rPr>
          <w:rFonts w:ascii="Arial" w:cs="Arial" w:eastAsia="Arial" w:hAnsi="Arial"/>
          <w:sz w:val="18"/>
          <w:szCs w:val="18"/>
          <w:color w:val="auto"/>
        </w:rPr>
      </w:pPr>
    </w:p>
    <w:p>
      <w:pPr>
        <w:ind w:left="340" w:hanging="224"/>
        <w:spacing w:after="0" w:line="24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regulators, IRBs, or independent ethics committees may require that we or our investigators suspend or terminate clinical research or clinical trials of any product candidates we may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spacing w:after="0" w:line="106"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clinical trials of any product candidates we may develop may be greater than we anticipate;</w:t>
      </w:r>
    </w:p>
    <w:p>
      <w:pPr>
        <w:spacing w:after="0" w:line="144" w:lineRule="exact"/>
        <w:rPr>
          <w:rFonts w:ascii="Arial" w:cs="Arial" w:eastAsia="Arial" w:hAnsi="Arial"/>
          <w:sz w:val="18"/>
          <w:szCs w:val="18"/>
          <w:color w:val="auto"/>
        </w:rPr>
      </w:pPr>
    </w:p>
    <w:p>
      <w:pPr>
        <w:ind w:left="340" w:right="100" w:hanging="224"/>
        <w:spacing w:after="0" w:line="24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supply or quality of any product candidates we may develop or other materials necessary to conduct preclinical studies or clinical trials of any product candidates we may develop may be insufficient or inadequate, including as a result of delays in the testing, validation, manufacturing, and delivery of any product candidates we may develop to the preclinical study sites or clinical sites by us or by third parties with whom we have contracted to perform certain of those functions;</w:t>
      </w:r>
    </w:p>
    <w:p>
      <w:pPr>
        <w:spacing w:after="0" w:line="106"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trial sites dropping out of a trial;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44" w:lineRule="exact"/>
        <w:rPr>
          <w:rFonts w:ascii="Arial" w:cs="Arial" w:eastAsia="Arial" w:hAnsi="Arial"/>
          <w:sz w:val="18"/>
          <w:szCs w:val="18"/>
          <w:color w:val="auto"/>
        </w:rPr>
      </w:pPr>
    </w:p>
    <w:p>
      <w:pPr>
        <w:ind w:left="340" w:right="620" w:hanging="224"/>
        <w:spacing w:after="0" w:line="271"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any product candidates we may develop that are viewed to outweigh their potential benefits;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occurrence of serious adverse events in trials of the same class of agents conducted by other sponsors;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44"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If we or our collaborators are required to conduct additional clinical trials or other testing of any product candidates we may develop beyond those that we currently contemplate, if we or our collaborators are unable to successfully complete clinical trials or other testing of any product candidates we may develop, or if the results of these trials or tests are not positive or are only modestly positive or if there are safety concerns, we or our collaborators may:</w:t>
      </w:r>
    </w:p>
    <w:p>
      <w:pPr>
        <w:spacing w:after="0" w:line="106" w:lineRule="exact"/>
        <w:rPr>
          <w:sz w:val="20"/>
          <w:szCs w:val="20"/>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delayed in obtaining regulatory approval for any such product candidates we may develop or not obtain regulatory approval at all;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44" w:lineRule="exact"/>
        <w:rPr>
          <w:rFonts w:ascii="Arial" w:cs="Arial" w:eastAsia="Arial" w:hAnsi="Arial"/>
          <w:sz w:val="18"/>
          <w:szCs w:val="18"/>
          <w:color w:val="auto"/>
        </w:rPr>
      </w:pPr>
    </w:p>
    <w:p>
      <w:pPr>
        <w:ind w:left="340" w:right="180" w:hanging="224"/>
        <w:spacing w:after="0" w:line="271"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REMS, or through modification to an existing REMS;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144"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Product development costs will also increase if we or our collaborators experience delays in clinical trials or other testing or in obtaining regulatory approvals. We do not know whether any clinical trials will begin as planned, will need to be restructured, or will be completed on schedule, or at all. Significant clinical trial delays also could shorten any periods during which we may have the exclusive right to commercialize any product candidates we may develop, could allow our competitors to bring products to market before we do, and could impair our ability to successfully commercialize any product candidates we may develop, any of which may harm our business, financial condition, results of operations, and prospects.</w:t>
      </w:r>
    </w:p>
    <w:p>
      <w:pPr>
        <w:spacing w:after="0" w:line="113" w:lineRule="exact"/>
        <w:rPr>
          <w:sz w:val="20"/>
          <w:szCs w:val="20"/>
          <w:color w:val="auto"/>
        </w:rPr>
      </w:pPr>
    </w:p>
    <w:p>
      <w:pPr>
        <w:jc w:val="both"/>
        <w:ind w:left="120" w:right="560"/>
        <w:spacing w:after="0" w:line="256" w:lineRule="auto"/>
        <w:rPr>
          <w:sz w:val="20"/>
          <w:szCs w:val="20"/>
          <w:color w:val="auto"/>
        </w:rPr>
      </w:pPr>
      <w:r>
        <w:rPr>
          <w:rFonts w:ascii="Arial" w:cs="Arial" w:eastAsia="Arial" w:hAnsi="Arial"/>
          <w:sz w:val="18"/>
          <w:szCs w:val="18"/>
          <w:b w:val="1"/>
          <w:bCs w:val="1"/>
          <w:i w:val="1"/>
          <w:iCs w:val="1"/>
          <w:color w:val="auto"/>
        </w:rPr>
        <w:t>Failure to access or a significant delay in accessing animal research models may materially adversely affect our ability to advance our preclinical programs and successfully develop any product candidates we may identify, which could result in significant harm to our business.</w:t>
      </w:r>
    </w:p>
    <w:p>
      <w:pPr>
        <w:spacing w:after="0" w:line="7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Consistent with various rules, regulations and current good manufacturing practices (“cGMP”), our ability to advance our preclinical programs and successfully develop any product candidates we may identify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any product candidates we may identify and this could result in significant harm to our business. During the COVID-19 pandemic, researchers and CROs (including those engaged by us) experienced significant limitations in their access to animal research models, specifically including a sharp reduction in the availability of non-human primates (“NHPs”) originating from breeding farms in Southeast Asia and limited access to the generation of genetically-modified rodent models used in efficacy evaluations. Prior to the pandemic, China was the leading exporter of NHPs employed in basic and applied research; however, early in 2020, China ceased exportation of cynomolgus monkeys, the species most commonly involved in pharmaceutical product development. This change in the world supply of a critical research model has resulted in increased demand from breeding farms principally located in Cambodia, Vietnam, and Mauritius Island, with a resultant marked increase in unit pricing. Consequently, this has further exacerbated an already constrained NHP supply for research purposes. If we are unable to obtain NHPs in sufficient quantities and in a timely manner to meet the needs of our preclinical research programs, if the price of NHPs that are available increases significantly, or if our suppliers are unable to ship the NHPs in their possession that are reserved for us, our ability to advance our preclinical programs and successfully develop any preclinical candidates we may identify may be materially adversely affected or significantly delayed.</w:t>
      </w:r>
    </w:p>
    <w:p>
      <w:pPr>
        <w:spacing w:after="0" w:line="120" w:lineRule="exact"/>
        <w:rPr>
          <w:sz w:val="20"/>
          <w:szCs w:val="20"/>
          <w:color w:val="auto"/>
        </w:rPr>
      </w:pPr>
    </w:p>
    <w:p>
      <w:pPr>
        <w:ind w:left="120" w:right="20"/>
        <w:spacing w:after="0" w:line="256" w:lineRule="auto"/>
        <w:rPr>
          <w:sz w:val="20"/>
          <w:szCs w:val="20"/>
          <w:color w:val="auto"/>
        </w:rPr>
      </w:pPr>
      <w:r>
        <w:rPr>
          <w:rFonts w:ascii="Arial" w:cs="Arial" w:eastAsia="Arial" w:hAnsi="Arial"/>
          <w:sz w:val="18"/>
          <w:szCs w:val="18"/>
          <w:b w:val="1"/>
          <w:bCs w:val="1"/>
          <w:i w:val="1"/>
          <w:iCs w:val="1"/>
          <w:color w:val="auto"/>
        </w:rPr>
        <w:t>Even if we complete the necessary clinical trials, we cannot predict when, or if, we will obtain regulatory approval to commercialize a product candidate we may develop in the United States or any other jurisdiction, and any such approval may be for a more narrow indication than we seek.</w:t>
      </w:r>
    </w:p>
    <w:p>
      <w:pPr>
        <w:spacing w:after="0" w:line="92"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We cannot commercialize a product candidate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86" w:lineRule="exact"/>
        <w:rPr>
          <w:sz w:val="20"/>
          <w:szCs w:val="20"/>
          <w:color w:val="auto"/>
        </w:rPr>
      </w:pPr>
    </w:p>
    <w:p>
      <w:pPr>
        <w:ind w:left="120" w:right="180"/>
        <w:spacing w:after="0" w:line="259" w:lineRule="auto"/>
        <w:rPr>
          <w:sz w:val="20"/>
          <w:szCs w:val="20"/>
          <w:color w:val="auto"/>
        </w:rPr>
      </w:pPr>
      <w:r>
        <w:rPr>
          <w:rFonts w:ascii="Arial" w:cs="Arial" w:eastAsia="Arial" w:hAnsi="Arial"/>
          <w:sz w:val="17"/>
          <w:szCs w:val="17"/>
          <w:color w:val="auto"/>
        </w:rPr>
        <w:t>Regulatory authorities also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adversely affect our business, financial condition, results of operations, and prospects.</w:t>
      </w:r>
    </w:p>
    <w:p>
      <w:pPr>
        <w:spacing w:after="0" w:line="9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Regulatory approval by the FDA in the United States, if obtained,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candidate testing and validation and additional administrative review periods. Seeking regulatory approval outside the United States could result in difficulties and costs for us and require additional preclinical studies or clinical trials which could be costly and time-consuming. Regulatory requirements can vary widely from country to country and could delay or prevent the introduction of our product candidates in those countries. The foreign regulatory approval process involves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spacing w:after="0" w:line="107" w:lineRule="exact"/>
        <w:rPr>
          <w:sz w:val="20"/>
          <w:szCs w:val="20"/>
          <w:color w:val="auto"/>
        </w:rPr>
      </w:pPr>
    </w:p>
    <w:p>
      <w:pPr>
        <w:ind w:left="120" w:right="20"/>
        <w:spacing w:after="0" w:line="249" w:lineRule="auto"/>
        <w:rPr>
          <w:sz w:val="20"/>
          <w:szCs w:val="20"/>
          <w:color w:val="auto"/>
        </w:rPr>
      </w:pPr>
      <w:r>
        <w:rPr>
          <w:rFonts w:ascii="Arial" w:cs="Arial" w:eastAsia="Arial" w:hAnsi="Arial"/>
          <w:sz w:val="18"/>
          <w:szCs w:val="18"/>
          <w:b w:val="1"/>
          <w:bCs w:val="1"/>
          <w:i w:val="1"/>
          <w:iCs w:val="1"/>
          <w:color w:val="auto"/>
        </w:rPr>
        <w:t>Even if we, or any of our collaborators or strategic partners, obtain regulatory approvals for any product candidates we may develop, the terms of approvals and ongoing regulation of such product candidates could require the substantial expenditure of resources and may limit how we, or they, manufacture and market such product candidates, which could materially impair our ability to generate revenue.</w:t>
      </w:r>
    </w:p>
    <w:p>
      <w:pPr>
        <w:spacing w:after="0" w:line="98"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Any product candidate for which we obtain regulatory approval, along with the manufacturing processes, post-approval clinical data, labeling, advertising and promotional activities for such product, will be subject to continual requirements of and review by the FDA, the EMA and other regulatory authorities. These requirements include submissions of safety and other post-marketing information and reports, facility registration and drug listing requirements, cGMP relating to quality control, quality assurance and corresponding maintenance of records and documents, applicable product tracking and tracing requirements and requirements regarding the distribution of samples to physicians and recordkeeping. In addition, our manufacturing and testing facilities will be required to undergo pre-license inspections and pre-approval inspections. Even if regulatory approval of a product candidate is granted, the approval may be subject to limitations on the indicated uses for which the products may be marketed or to the conditions of approval, or contain requirements for costly post-marketing testing and surveillance to monitor the safety or efficacy of the products.</w:t>
      </w:r>
    </w:p>
    <w:p>
      <w:pPr>
        <w:spacing w:after="0" w:line="116"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Accordingly, assuming we, or any collaborators we may have, receive regulatory approval for one or more product candidates we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regulatory approvals for our products withdrawn by regulatory authorities and our, or such collaborators’, ability to market any future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301" w:lineRule="auto"/>
        <w:rPr>
          <w:sz w:val="20"/>
          <w:szCs w:val="20"/>
          <w:color w:val="auto"/>
        </w:rPr>
      </w:pPr>
      <w:r>
        <w:rPr>
          <w:rFonts w:ascii="Arial" w:cs="Arial" w:eastAsia="Arial" w:hAnsi="Arial"/>
          <w:sz w:val="17"/>
          <w:szCs w:val="17"/>
          <w:color w:val="auto"/>
        </w:rPr>
        <w:t>products could be limited, which could adversely affect our ability to achieve or sustain profitability. Furthermore, the cost of compliance with post-approval regulations may have a negative effect on our business, operating results, financial condition and prospects.</w:t>
      </w:r>
    </w:p>
    <w:p>
      <w:pPr>
        <w:spacing w:after="0" w:line="65" w:lineRule="exact"/>
        <w:rPr>
          <w:sz w:val="20"/>
          <w:szCs w:val="20"/>
          <w:color w:val="auto"/>
        </w:rPr>
      </w:pPr>
    </w:p>
    <w:p>
      <w:pPr>
        <w:ind w:left="120" w:right="360"/>
        <w:spacing w:after="0" w:line="249" w:lineRule="auto"/>
        <w:rPr>
          <w:sz w:val="20"/>
          <w:szCs w:val="20"/>
          <w:color w:val="auto"/>
        </w:rPr>
      </w:pPr>
      <w:r>
        <w:rPr>
          <w:rFonts w:ascii="Arial" w:cs="Arial" w:eastAsia="Arial" w:hAnsi="Arial"/>
          <w:sz w:val="18"/>
          <w:szCs w:val="18"/>
          <w:b w:val="1"/>
          <w:bCs w:val="1"/>
          <w:i w:val="1"/>
          <w:iCs w:val="1"/>
          <w:color w:val="auto"/>
        </w:rPr>
        <w:t>We may not be able to obtain orphan drug designation or exclusivity for our potential product candidates, and even if we do, that designation may not provide an expedited development or regulatory review or approval process and any orphan drug exclusivity we may receive for approved products may not prevent the FDA or the EMA from approving other competing products.</w:t>
      </w:r>
    </w:p>
    <w:p>
      <w:pPr>
        <w:spacing w:after="0" w:line="98"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Under the Orphan Drug Act, the FDA may designate a product candidate as an orphan drug if it is a drug or biologic intended to treat a rare disease or condition. A similar regulatory scheme governs approval of orphan product candidates by the EMA in the European Union. Generally, if a product with an orphan drug designation subsequently receives the first regulatory approval for the indication for which it has such designation, the product is entitled to a period of marketing exclusivity, which precludes the FDA or the EMA (as applicable) from approving another marketing application for another similar product candidate for the same orphan therapeutic indication for that time period. The applicable period is seven years in the United States and ten years in the European Union. The exclusivity period in the European Union can be reduced to six years if at the end of the fifth year it is determined that a product no longer meets the criteria for orphan designation, including if the product is sufficiently profitable so that market exclusivity is no longer justified.</w:t>
      </w:r>
    </w:p>
    <w:p>
      <w:pPr>
        <w:spacing w:after="0" w:line="9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In order for the FDA to grant orphan drug exclusivity to one of our potential product candidates, the agency must find that the product candidate is indicated for the treatment of a condition or disease that affects fewer than 200,000 individuals in the United States or that affects 200,000 or more individuals in the United States and for which there is no reasonable expectation that the cost of developing and making the product candidate available for the disease or condition will be recovered from sales of the product in the United States. The FDA may conclude that the condition or disease for which we seek orphan drug exclusivity does not meet this standard. Even if we obtain orphan drug exclusivity for a product candidate, that exclusivity may not effectively protect the product candidate from competition because different product candidates can be approved for the same condition. In addition, even after an orphan drug is approved, the FDA can subsequently approve the same product candidate for the same condition if the FDA concludes that the later product candidate is clinically superior in that it is shown to be safer, more effective or makes a major contribution to patient care compared with the product that has orphan exclusivity.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117" w:lineRule="exact"/>
        <w:rPr>
          <w:sz w:val="20"/>
          <w:szCs w:val="20"/>
          <w:color w:val="auto"/>
        </w:rPr>
      </w:pPr>
    </w:p>
    <w:p>
      <w:pPr>
        <w:ind w:left="120" w:right="120"/>
        <w:spacing w:after="0" w:line="249"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98"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08" w:lineRule="exact"/>
        <w:rPr>
          <w:sz w:val="20"/>
          <w:szCs w:val="20"/>
          <w:color w:val="auto"/>
        </w:rPr>
      </w:pPr>
    </w:p>
    <w:p>
      <w:pPr>
        <w:ind w:left="120" w:right="440"/>
        <w:spacing w:after="0" w:line="256"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92"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carry pollution insurance to protect against possible biological or hazardous waste accidents. However,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13" w:lineRule="exact"/>
        <w:rPr>
          <w:sz w:val="20"/>
          <w:szCs w:val="20"/>
          <w:color w:val="auto"/>
        </w:rPr>
      </w:pPr>
    </w:p>
    <w:p>
      <w:pPr>
        <w:ind w:left="120" w:right="320"/>
        <w:spacing w:after="0" w:line="24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109"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73" w:lineRule="exact"/>
        <w:rPr>
          <w:sz w:val="20"/>
          <w:szCs w:val="20"/>
          <w:color w:val="auto"/>
        </w:rPr>
      </w:pPr>
    </w:p>
    <w:p>
      <w:pPr>
        <w:ind w:left="120" w:right="460"/>
        <w:spacing w:after="0" w:line="278"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72"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We are exposed to the risk of fraud or other misconduct by our employees, consultants and commercial partners, and, if we commence clinical trials, our principal investigators. Misconduct by these parties could</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include intentional failures to comply with FDA regulations or the regulations applicable in the European Union and other jurisdictions, provide accurate information to the FDA, the EMA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the EMA or other regulatory authorities, which could result in regulatory sanctions and cause serious harm to our reputation. We are also exposed to risks in connection with any insider trading violations by employees or others affiliated with us. Upon the effectiveness of this registration statement, we will adopt a code of conduct and an insider trading policy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22" w:lineRule="exact"/>
        <w:rPr>
          <w:sz w:val="20"/>
          <w:szCs w:val="20"/>
          <w:color w:val="auto"/>
        </w:rPr>
      </w:pPr>
    </w:p>
    <w:p>
      <w:pPr>
        <w:ind w:left="120" w:right="540"/>
        <w:spacing w:after="0" w:line="278"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 candidates that we may develop.</w:t>
      </w:r>
    </w:p>
    <w:p>
      <w:pPr>
        <w:spacing w:after="0" w:line="72"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We will face an inherent risk of product liability exposure related to the testing of any product candidates we may develop in human clinical trials and will face an even greater risk if we commercially sell such product candidates. If we cannot successfully defend ourselves against claims that our product candidates caused injuries, we could incur substantial liabilities. Regardless of merit or eventual outcome, liability claims may result in:</w:t>
      </w:r>
    </w:p>
    <w:p>
      <w:pPr>
        <w:spacing w:after="0" w:line="106" w:lineRule="exact"/>
        <w:rPr>
          <w:sz w:val="20"/>
          <w:szCs w:val="20"/>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any product candidates that we may develop;</w:t>
      </w:r>
    </w:p>
    <w:p>
      <w:pPr>
        <w:spacing w:after="0" w:line="13" w:lineRule="exact"/>
        <w:rPr>
          <w:rFonts w:ascii="Arial" w:cs="Arial" w:eastAsia="Arial" w:hAnsi="Arial"/>
          <w:sz w:val="18"/>
          <w:szCs w:val="18"/>
          <w:color w:val="auto"/>
        </w:rPr>
      </w:pPr>
    </w:p>
    <w:p>
      <w:pPr>
        <w:ind w:left="340" w:hanging="224"/>
        <w:spacing w:after="0" w:line="23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ind w:left="340" w:hanging="224"/>
        <w:spacing w:after="0" w:line="23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ind w:left="340" w:hanging="224"/>
        <w:spacing w:after="0" w:line="23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ind w:left="340" w:hanging="224"/>
        <w:spacing w:after="0" w:line="23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ind w:left="340" w:hanging="224"/>
        <w:spacing w:after="0" w:line="23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 and</w:t>
      </w: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w:t>
      </w:r>
    </w:p>
    <w:p>
      <w:pPr>
        <w:spacing w:after="0" w:line="113"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We anticipate that we will need to increase our insurance coverage when we begin clinical trials and if we successfully commercialize any product candidate. Insurance coverage is increasingly expensive. We may not be able to maintain insurance coverage at a reasonable cost or in an amount adequate to satisfy any liability that may arise.</w:t>
      </w:r>
    </w:p>
    <w:p>
      <w:pPr>
        <w:spacing w:after="0" w:line="103" w:lineRule="exact"/>
        <w:rPr>
          <w:sz w:val="20"/>
          <w:szCs w:val="20"/>
          <w:color w:val="auto"/>
        </w:rPr>
      </w:pPr>
    </w:p>
    <w:p>
      <w:pPr>
        <w:ind w:left="120" w:right="60"/>
        <w:spacing w:after="0" w:line="245" w:lineRule="auto"/>
        <w:rPr>
          <w:sz w:val="20"/>
          <w:szCs w:val="20"/>
          <w:color w:val="auto"/>
        </w:rPr>
      </w:pPr>
      <w:r>
        <w:rPr>
          <w:rFonts w:ascii="Arial" w:cs="Arial" w:eastAsia="Arial" w:hAnsi="Arial"/>
          <w:sz w:val="18"/>
          <w:szCs w:val="18"/>
          <w:b w:val="1"/>
          <w:bCs w:val="1"/>
          <w:i w:val="1"/>
          <w:iCs w:val="1"/>
          <w:color w:val="auto"/>
        </w:rPr>
        <w:t>Our internal computer and information technology systems, or those of our third-party vendors, collaborators, contractors, consultants or other third parties, may fail, become unavailable, or suffer security incidents or data breaches, loss or leakage of data and other disruptions, which could result in a material disruption of our product development programs, compromise confidential, sensitive or personal information related to our business or prevent us from accessing critical information, potentially exposing us to liability or otherwise adversely affecting our business.</w:t>
      </w:r>
    </w:p>
    <w:p>
      <w:pPr>
        <w:spacing w:after="0" w:line="103"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color w:val="auto"/>
        </w:rPr>
        <w:t>Our internal computer and information technology systems and those of our current and any future third-party vendors, collaborators, contractors, consultants or other third parties, are vulnerable to damage or interruption</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from, among other things, computer viruses, computer hackers, phishing attacks, ransomware, malware, social engineering, service interruptions, system malfunction, malicious code, employee theft, fraud, misconduct or misuse, denial-of-service attacks, sophisticated nation-state and nation-state-supported actors, unauthorized access, natural disasters, terrorism, war and telecommunication and electrical failures. While we seek to protect our information technology systems from system failure, accident and security breach, we have in the past and may in the future experience phishing and other security incidents which could result in a disruption of our development programs and our business operations, whether due to a loss of our trade secrets or other proprietary, personal or confidential information or other disruptions. For example, the loss of clinical trial data from future clinical trials could result in delays in our regulatory approval efforts and significantly increase our costs to recover or reproduce the data.</w:t>
      </w:r>
    </w:p>
    <w:p>
      <w:pPr>
        <w:spacing w:after="0" w:line="113"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Controls employed by our information technology department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cybersecurity attack attributed to our third-party vendors as they relate to the information we share with them.</w:t>
      </w:r>
    </w:p>
    <w:p>
      <w:pPr>
        <w:spacing w:after="0" w:line="106" w:lineRule="exact"/>
        <w:rPr>
          <w:sz w:val="20"/>
          <w:szCs w:val="20"/>
          <w:color w:val="auto"/>
        </w:rPr>
      </w:pPr>
    </w:p>
    <w:p>
      <w:pPr>
        <w:ind w:left="120" w:right="80"/>
        <w:spacing w:after="0" w:line="251" w:lineRule="auto"/>
        <w:rPr>
          <w:sz w:val="20"/>
          <w:szCs w:val="20"/>
          <w:color w:val="auto"/>
        </w:rPr>
      </w:pPr>
      <w:r>
        <w:rPr>
          <w:rFonts w:ascii="Arial" w:cs="Arial" w:eastAsia="Arial" w:hAnsi="Arial"/>
          <w:sz w:val="17"/>
          <w:szCs w:val="17"/>
          <w:color w:val="auto"/>
        </w:rPr>
        <w:t>If we were to experience a cybersecurity breach or other security incident relating to our information systems or data, the costs, time and effort associated with the investigation, remediation and potential notification of the breach to counterparties, regulators and data subjects could be material. We may incur significant costs in an effort to detect and prevent security incidents, and we may face increased costs and requirements to expend substantial resources in the event of an actual or perceived security incident. In addition, techniques used to sabotage or to obtain unauthorized access to networks in which data is stored or through which data is transmitted change frequently, become more complex over time and generally are not recognized until launched against a target. The risk of a security breach or disruption, particularly through cyberattacks including supply chain attacks such as SolarWinds or cyber intrusion, including by computer hackers, foreign governments, and cyber terrorists, has generally increased as the number, intensity, and sophistication of attempted attacks and intrusions from around the world have increased. As a result, we and our third-party vendors may be unable to anticipate these techniques or implement adequate preventative measures quickly enough to prevent either an electronic intrusion into our systems or services or a compromise of critical information. We cannot guarantee that we will be able to detect or prevent any such incidents, and, our remediation efforts may not be successful or timely. Our efforts to improve security and protect data from compromise may also identify previously undiscovered instances of data breaches or other cybersecurity incidents.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personal or confidential information. Additionally, we do not currently maintain cybersecurity insurance, and any insurance we may maintain in the future against the risk of this type of loss in the future may not be sufficient to cover actual losses, or may not apply to the circumstances relating to any particular loss.</w:t>
      </w:r>
    </w:p>
    <w:p>
      <w:pPr>
        <w:spacing w:after="0" w:line="305"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To the extent that any disruption or security breach were to result in a loss of, or damage to, our or our third-party vendors’, collaborators’, contractors’, consultants’ or other third parties’ data, including personal data, or applications or inappropriate disclosure, loss, destruction or alteration of, or access to, confidential, personal or proprietary information, we could incur significant liability including litigation exposure, substantial penalties and fines, we could become the subject of regulatory action, inquiry or investigation, our competitive position could be harmed, we could incur significant reputational damage and the further development and commercialization of any product candidates we may develop could be delayed. Any of the above could have a material adverse effect on our business, financial condition, results of operations or prospects.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right="360"/>
        <w:spacing w:after="0" w:line="256"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 candidates we may identify outside of the United States and require us to develop and implement costly compliance programs.</w:t>
      </w:r>
    </w:p>
    <w:p>
      <w:pPr>
        <w:spacing w:after="0" w:line="92" w:lineRule="exact"/>
        <w:rPr>
          <w:sz w:val="20"/>
          <w:szCs w:val="20"/>
          <w:color w:val="auto"/>
        </w:rPr>
      </w:pPr>
    </w:p>
    <w:p>
      <w:pPr>
        <w:ind w:left="120" w:right="420"/>
        <w:spacing w:after="0" w:line="253" w:lineRule="auto"/>
        <w:rPr>
          <w:sz w:val="20"/>
          <w:szCs w:val="20"/>
          <w:color w:val="auto"/>
        </w:rPr>
      </w:pPr>
      <w:r>
        <w:rPr>
          <w:rFonts w:ascii="Arial" w:cs="Arial" w:eastAsia="Arial" w:hAnsi="Arial"/>
          <w:sz w:val="18"/>
          <w:szCs w:val="18"/>
          <w:color w:val="auto"/>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04"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Similarly, the U.K. Bribery Act 2010 has extra-territorial effect for companies and individuals having a connection with the United Kingdom. The U.K. Bribery Act prohibits inducements both to public officials and private individuals and organizations. Compliance with the FCPA and the U.K. Bribery Act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17"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drugs and drug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17" w:lineRule="exact"/>
        <w:rPr>
          <w:sz w:val="20"/>
          <w:szCs w:val="20"/>
          <w:color w:val="auto"/>
        </w:rPr>
      </w:pPr>
    </w:p>
    <w:p>
      <w:pPr>
        <w:jc w:val="both"/>
        <w:ind w:left="120" w:right="100"/>
        <w:spacing w:after="0" w:line="256" w:lineRule="auto"/>
        <w:rPr>
          <w:sz w:val="20"/>
          <w:szCs w:val="20"/>
          <w:color w:val="auto"/>
        </w:rPr>
      </w:pPr>
      <w:r>
        <w:rPr>
          <w:rFonts w:ascii="Arial" w:cs="Arial" w:eastAsia="Arial" w:hAnsi="Arial"/>
          <w:sz w:val="18"/>
          <w:szCs w:val="18"/>
          <w:b w:val="1"/>
          <w:bCs w:val="1"/>
          <w:i w:val="1"/>
          <w:iCs w:val="1"/>
          <w:color w:val="auto"/>
        </w:rPr>
        <w:t>We are subject to stringent and often unsettled laws, rules, regulations, policies, standards and contractual obligations related to data privacy and security and changes in such laws, rules, regulations, policies, standards and contractual obligations could adversely affect our business.</w:t>
      </w:r>
    </w:p>
    <w:p>
      <w:pPr>
        <w:spacing w:after="0" w:line="78"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color w:val="auto"/>
        </w:rPr>
        <w:t>We are subject to data privacy and protection laws, rules, regulations, policies, standards and contractual obligations that apply to the collection, transmission, storage, use, disclosure, transfer, maintenance and other</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processing of sensitive, personal and personally-identifying information, which, among other things, impose certain requirements relating to the privacy, security, transmission and other processing of personal information, including comprehensive regulatory systems in the United States and European Union. The legislative and regulatory landscape for privacy and data protection continues to evolve in jurisdictions worldwide, and there has been an increasing focus on privacy and data protection issues with the potential to affect our business. However, our data privacy program is in its early stages and we have not yet assessed the applicability of and our compliance with data privacy-related laws, rules and regulations. As a result, we cannot guarantee that we are and have been in compliance with all applicable data privacy and protection laws, rules regulations, policies and standards, and we may need to expend significant resources to implement privacy compliance measures. Additionally, we rely on certain third -party vendors to process certain confidential, sensitive or personal information on our behalf. Failure by us or our third-party vendors to comply with any of these laws, rules, regulations, contractual obligations or standards could result in notification obligations, enforcement actions, regulatory investigations or inquiries, significant fines, imprisonment of company officials and public censure, litigation and claims for damages by affected individuals, customers or business partners, damage to our reputation and loss of goodwill, any of which could have a material adverse effect on our business, financial condition, results of operations or prospects.</w:t>
      </w:r>
    </w:p>
    <w:p>
      <w:pPr>
        <w:spacing w:after="0" w:line="11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There are numerous U.S. federal and state laws, rules and regulations related to the privacy and security of personal information. In particular, regulations promulgated pursuant to the Health Insurance Portability and Accountability Act of 1996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The Genetic Information Nondiscrimination Act of 2008 (“GINA”), which clarified that genetic information is protected under HIPAA and restricts the use and disclosure of genetic information.</w:t>
      </w:r>
    </w:p>
    <w:p>
      <w:pPr>
        <w:spacing w:after="0" w:line="117"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Additionally, laws in all 50 states require businesses to provide notice to customers whose personally identifiable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security breach. 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 Determining whether personal information has been handled in compliance with applicable privacy standards and our contractual obligations can be complex and may be subject to changing interpretation.</w:t>
      </w:r>
    </w:p>
    <w:p>
      <w:pPr>
        <w:spacing w:after="0" w:line="102" w:lineRule="exact"/>
        <w:rPr>
          <w:sz w:val="20"/>
          <w:szCs w:val="20"/>
          <w:color w:val="auto"/>
        </w:rPr>
      </w:pPr>
    </w:p>
    <w:p>
      <w:pPr>
        <w:ind w:left="120" w:right="360"/>
        <w:spacing w:after="0" w:line="242" w:lineRule="auto"/>
        <w:rPr>
          <w:sz w:val="20"/>
          <w:szCs w:val="20"/>
          <w:color w:val="auto"/>
        </w:rPr>
      </w:pPr>
      <w:r>
        <w:rPr>
          <w:rFonts w:ascii="Arial" w:cs="Arial" w:eastAsia="Arial" w:hAnsi="Arial"/>
          <w:sz w:val="18"/>
          <w:szCs w:val="18"/>
          <w:color w:val="auto"/>
        </w:rPr>
        <w:t>If we are unable to properly protect the privacy and security of personal information, we could be alleged or actually found to have breached our contracts. Furthermore, if we fail to comply with applicable privacy laws, including applicable HIPAA privacy and security standards, we could face significant administrative, civil and criminal penalties. HHS has the discretion to impose penalties without attempting to resolve violations through informal means, and such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47" w:lineRule="auto"/>
        <w:rPr>
          <w:sz w:val="20"/>
          <w:szCs w:val="20"/>
          <w:color w:val="auto"/>
        </w:rPr>
      </w:pPr>
      <w:r>
        <w:rPr>
          <w:rFonts w:ascii="Arial" w:cs="Arial" w:eastAsia="Arial" w:hAnsi="Arial"/>
          <w:sz w:val="18"/>
          <w:szCs w:val="18"/>
          <w:color w:val="auto"/>
        </w:rPr>
        <w:t>threaten the privacy or security of the personal information of state residents. We cannot be sure how these laws, rules and regulations will be interpreted, enforced or applied to our operations. In addition to the risks associated with enforcement activities and potential contractual liabilities, our ongoing efforts to comply with evolving laws, rules and regulations at the international, federal and state level may be costly and require ongoing modifications to our policies, procedures and systems.</w:t>
      </w:r>
    </w:p>
    <w:p>
      <w:pPr>
        <w:spacing w:after="0" w:line="106"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We make public statements about our use, collection, disclosure and other processing of personal information through our privacy policies and information provided on our website.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w:t>
      </w:r>
    </w:p>
    <w:p>
      <w:pPr>
        <w:spacing w:after="0" w:line="10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Data privacy remains an evolving landscape at both the domestic and international level, with new laws, rules and regulations coming into effect and continued legal challenges. For example, California enacted the California Consumer Privacy Act of 2018 (“CCPA”), which went into effect on January 1, 2020 and, among other things, requires companies that process information on California residents to make new disclosures to consumers about their data collection, use and sharing practices, allow consumers to opt out of certain data sharing with third parties and provide a new cause of action for data breaches. Additionally, California voters approved the California Privacy Rights Act (“CPRA”), which went into effect on January 1, 2023. The CPRA significantly modifies the CCPA, including by introducing additional obligations such as data minimization and storage limitations and granting additional rights to California residents such as correction of personal information and additional opt-out rights. The CPRA also creates a new state agency that will be vested with authority to implement and enforce the CCPA and the CPRA. The enactment of the CCPA is prompting a wave of similar legislative developments in other states and at the federal level, reflecting a trend toward more stringent privacy legislation in the United States. For example, at least four such state laws (in Virginia, Colorado, Connecticut and Utah) have taken effect, or are scheduled to take effect in 2023.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w:t>
      </w:r>
    </w:p>
    <w:p>
      <w:pPr>
        <w:spacing w:after="0" w:line="108"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Our efforts to comply with the evolving data protection laws, rules and regulations may be unsuccessful. It is possible that these laws, rules and regulations may be interpreted and applied in a manner that is inconsistent with our practices and our efforts to comply with the evolving data protection rules may be unsuccessful. The laws are not consistent, and compliance in the event of a widespread data breach is costly and time -consuming. States are also frequently amending existing laws, requiring attention to frequently changing regulatory requirements. We must devote significant resources to understanding and complying with this changing landscape. Failure by us or our third-party vendors to comply with laws, rules and regulations regarding data privacy and protection would expose us to risk of enforcement actions taken by data protection authorities and carries with it the potential for significant penalties if we are found to be non-compliant. Similarly, failure to comply with federal and state laws, rules and regulations in the United States regarding privacy and security of personal information could expose us to penalties under such laws, rules and regulations. Any such failure by us or our third-party vendors to comply with data protection and privacy laws, rules and regulations could result in significant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rules or regulations, government investigations into these issues typically require the expenditure of significant resources and generate negative publicity, which could harm our business, financial condition, results of operations or prospects.</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Third Party Relationships</w:t>
      </w:r>
    </w:p>
    <w:p>
      <w:pPr>
        <w:spacing w:after="0" w:line="150" w:lineRule="exact"/>
        <w:rPr>
          <w:sz w:val="20"/>
          <w:szCs w:val="20"/>
          <w:color w:val="auto"/>
        </w:rPr>
      </w:pPr>
    </w:p>
    <w:p>
      <w:pPr>
        <w:ind w:left="120" w:right="340"/>
        <w:spacing w:after="0" w:line="278"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72" w:lineRule="exact"/>
        <w:rPr>
          <w:sz w:val="20"/>
          <w:szCs w:val="20"/>
          <w:color w:val="auto"/>
        </w:rPr>
      </w:pPr>
    </w:p>
    <w:p>
      <w:pPr>
        <w:ind w:left="120" w:right="40"/>
        <w:spacing w:after="0" w:line="259" w:lineRule="auto"/>
        <w:rPr>
          <w:sz w:val="20"/>
          <w:szCs w:val="20"/>
          <w:color w:val="auto"/>
        </w:rPr>
      </w:pPr>
      <w:r>
        <w:rPr>
          <w:rFonts w:ascii="Arial" w:cs="Arial" w:eastAsia="Arial" w:hAnsi="Arial"/>
          <w:sz w:val="17"/>
          <w:szCs w:val="17"/>
          <w:color w:val="auto"/>
        </w:rPr>
        <w:t>If conflicts arise between our collaborators and corporate or strategic partners and us, the other party may act in a manner adverse to us and could limit our ability to implement our strategies. Some of our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 candidates we may develop that are the subject of these collaborations with us. Competing products, either developed by the collaborators or strategic partners or to which the collaborators or strategic partners have rights, may result in the withdrawal of partner support for any product candidates we may develop.</w:t>
      </w:r>
    </w:p>
    <w:p>
      <w:pPr>
        <w:spacing w:after="0" w:line="84"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Additionally, 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prevent us from obtaining timely regulatory approvals, terminate their agreements with us prematurely or fail to devote sufficient resources to the collaboration efforts, including development, delivery, manufacturing and commercialization of products. Any of these developments could harm our company and product development efforts.</w:t>
      </w:r>
    </w:p>
    <w:p>
      <w:pPr>
        <w:spacing w:after="0" w:line="111"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i w:val="1"/>
          <w:iCs w:val="1"/>
          <w:color w:val="auto"/>
        </w:rPr>
        <w:t>We have entered into collaborations, and may enter into additional collaborations, with third parties for the research, development, manufacture and commercialization of programs or product candidates. If these collaborations are not successful, our business could be adversely affected.</w:t>
      </w:r>
    </w:p>
    <w:p>
      <w:pPr>
        <w:spacing w:after="0" w:line="9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 xml:space="preserve">As part of our strategy, we have entered into collaborations and intend to seek to enter into additional collaborations with third parties for one or more of our programs or product candidates we may develop. For example, in October 2021, we entered into a Strategic Collaboration and License Agreement with ModernaTX, Inc. (“Moderna”), focused on advancing new genome editing system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human therapeutic applications, in June 2022, we entered into a Development, Option and License Agreement with Affini-T Therapeutics, Inc. (“Affini-T”) to develop and commercialize gene edited T-cell receptor (“TCR”)-based therapeutic products exclusively in the field of treatment, prevention or diagnosis of any human cancer using products with any engineered primary TCR alpha/beta T cells and non-exclusively in the field of treatment, prevention or diagnosis of any human cancer using products with certain other engineered immune cells worldwide, and in November 2022, we entered into a Collaboration and License Agreement with Ionis Pharmaceuticals, Inc. (“Ionis”) to research, develop and commercialize investigational medicines using genome editing technologies. Our likely collaborators for any other collaboration arrangements include large and mid-size pharmaceutical companies, regional and national pharmaceutical companies and biotechnology companies. We have under these agreements, and we may have under any other arrangements that we may enter into with any third parties, limited control over the amount and timing of resources that collaborators dedicate to the development or commercialization of our product candidates. Our ability to generate revenue from these arrangements may depend on our collaborators’ abilities to successfully perform the functions assigned to them in these arrangements.</w:t>
      </w:r>
    </w:p>
    <w:p>
      <w:pPr>
        <w:spacing w:after="0" w:line="108" w:lineRule="exact"/>
        <w:rPr>
          <w:sz w:val="20"/>
          <w:szCs w:val="20"/>
          <w:color w:val="auto"/>
        </w:rPr>
      </w:pPr>
    </w:p>
    <w:p>
      <w:pPr>
        <w:ind w:left="120" w:right="780"/>
        <w:spacing w:after="0" w:line="271" w:lineRule="auto"/>
        <w:rPr>
          <w:sz w:val="20"/>
          <w:szCs w:val="20"/>
          <w:color w:val="auto"/>
        </w:rPr>
      </w:pPr>
      <w:r>
        <w:rPr>
          <w:rFonts w:ascii="Arial" w:cs="Arial" w:eastAsia="Arial" w:hAnsi="Arial"/>
          <w:sz w:val="18"/>
          <w:szCs w:val="18"/>
          <w:color w:val="auto"/>
        </w:rPr>
        <w:t>Collaborations that we enter into may not be successful, and any success will depend heavily on the efforts and activities of such collaborators. Collaborations pose a number of risks, including the following:</w:t>
      </w:r>
    </w:p>
    <w:p>
      <w:pPr>
        <w:spacing w:after="0" w:line="86" w:lineRule="exact"/>
        <w:rPr>
          <w:sz w:val="20"/>
          <w:szCs w:val="20"/>
          <w:color w:val="auto"/>
        </w:rPr>
      </w:pPr>
    </w:p>
    <w:p>
      <w:pPr>
        <w:ind w:left="340" w:right="480" w:hanging="224"/>
        <w:spacing w:after="0" w:line="271"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right="160" w:hanging="224"/>
        <w:spacing w:after="0" w:line="25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101" w:lineRule="exact"/>
        <w:rPr>
          <w:rFonts w:ascii="Arial" w:cs="Arial" w:eastAsia="Arial" w:hAnsi="Arial"/>
          <w:sz w:val="18"/>
          <w:szCs w:val="18"/>
          <w:color w:val="auto"/>
        </w:rPr>
      </w:pPr>
    </w:p>
    <w:p>
      <w:pPr>
        <w:ind w:left="340" w:hanging="224"/>
        <w:spacing w:after="0" w:line="25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101" w:lineRule="exact"/>
        <w:rPr>
          <w:rFonts w:ascii="Arial" w:cs="Arial" w:eastAsia="Arial" w:hAnsi="Arial"/>
          <w:sz w:val="18"/>
          <w:szCs w:val="18"/>
          <w:color w:val="auto"/>
        </w:rPr>
      </w:pPr>
    </w:p>
    <w:p>
      <w:pPr>
        <w:ind w:left="340" w:right="180" w:hanging="224"/>
        <w:spacing w:after="0" w:line="25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delay preclinical studies and clinical trials, provide insufficient funding for a preclinical study or clinical trial program, stop a preclinical study or clinical trial or abandon a product candidate, repeat or conduct new preclinical studies or clinical trials or require a new formulation of a product candidate for preclinical or clinical testing;</w:t>
      </w:r>
    </w:p>
    <w:p>
      <w:pPr>
        <w:spacing w:after="0" w:line="101" w:lineRule="exact"/>
        <w:rPr>
          <w:rFonts w:ascii="Arial" w:cs="Arial" w:eastAsia="Arial" w:hAnsi="Arial"/>
          <w:sz w:val="18"/>
          <w:szCs w:val="18"/>
          <w:color w:val="auto"/>
        </w:rPr>
      </w:pPr>
    </w:p>
    <w:p>
      <w:pPr>
        <w:ind w:left="340" w:right="140" w:hanging="224"/>
        <w:spacing w:after="0" w:line="25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101" w:lineRule="exact"/>
        <w:rPr>
          <w:rFonts w:ascii="Arial" w:cs="Arial" w:eastAsia="Arial" w:hAnsi="Arial"/>
          <w:sz w:val="18"/>
          <w:szCs w:val="18"/>
          <w:color w:val="auto"/>
        </w:rPr>
      </w:pPr>
    </w:p>
    <w:p>
      <w:pPr>
        <w:ind w:left="340" w:right="220" w:hanging="224"/>
        <w:spacing w:after="0" w:line="25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101" w:lineRule="exact"/>
        <w:rPr>
          <w:rFonts w:ascii="Arial" w:cs="Arial" w:eastAsia="Arial" w:hAnsi="Arial"/>
          <w:sz w:val="18"/>
          <w:szCs w:val="18"/>
          <w:color w:val="auto"/>
        </w:rPr>
      </w:pPr>
    </w:p>
    <w:p>
      <w:pPr>
        <w:ind w:left="340" w:right="600" w:hanging="224"/>
        <w:spacing w:after="0" w:line="25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01" w:lineRule="exact"/>
        <w:rPr>
          <w:rFonts w:ascii="Arial" w:cs="Arial" w:eastAsia="Arial" w:hAnsi="Arial"/>
          <w:sz w:val="18"/>
          <w:szCs w:val="18"/>
          <w:color w:val="auto"/>
        </w:rPr>
      </w:pPr>
    </w:p>
    <w:p>
      <w:pPr>
        <w:ind w:left="340" w:right="560" w:hanging="224"/>
        <w:spacing w:after="0" w:line="271"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product candidate or product;</w:t>
      </w:r>
    </w:p>
    <w:p>
      <w:pPr>
        <w:spacing w:after="0" w:line="86" w:lineRule="exact"/>
        <w:rPr>
          <w:rFonts w:ascii="Arial" w:cs="Arial" w:eastAsia="Arial" w:hAnsi="Arial"/>
          <w:sz w:val="18"/>
          <w:szCs w:val="18"/>
          <w:color w:val="auto"/>
        </w:rPr>
      </w:pPr>
    </w:p>
    <w:p>
      <w:pPr>
        <w:ind w:left="340" w:right="120" w:hanging="224"/>
        <w:spacing w:after="0" w:line="271"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86" w:lineRule="exact"/>
        <w:rPr>
          <w:rFonts w:ascii="Arial" w:cs="Arial" w:eastAsia="Arial" w:hAnsi="Arial"/>
          <w:sz w:val="18"/>
          <w:szCs w:val="18"/>
          <w:color w:val="auto"/>
        </w:rPr>
      </w:pPr>
    </w:p>
    <w:p>
      <w:pPr>
        <w:ind w:left="340" w:right="140" w:hanging="224"/>
        <w:spacing w:after="0" w:line="24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06" w:lineRule="exact"/>
        <w:rPr>
          <w:rFonts w:ascii="Arial" w:cs="Arial" w:eastAsia="Arial" w:hAnsi="Arial"/>
          <w:sz w:val="18"/>
          <w:szCs w:val="18"/>
          <w:color w:val="auto"/>
        </w:rPr>
      </w:pPr>
    </w:p>
    <w:p>
      <w:pPr>
        <w:ind w:left="340" w:right="100" w:hanging="224"/>
        <w:spacing w:after="0" w:line="25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or other rights developed pursuant to our collaborations;</w:t>
      </w:r>
    </w:p>
    <w:p>
      <w:pPr>
        <w:spacing w:after="0" w:line="144" w:lineRule="exact"/>
        <w:rPr>
          <w:rFonts w:ascii="Arial" w:cs="Arial" w:eastAsia="Arial" w:hAnsi="Arial"/>
          <w:sz w:val="18"/>
          <w:szCs w:val="18"/>
          <w:color w:val="auto"/>
        </w:rPr>
      </w:pPr>
    </w:p>
    <w:p>
      <w:pPr>
        <w:ind w:left="340" w:right="180" w:hanging="224"/>
        <w:spacing w:after="0" w:line="271"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right="280" w:hanging="224"/>
        <w:spacing w:after="0" w:line="271"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86"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current or future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prospectus also apply to the activities of our collaborators.</w:t>
      </w:r>
    </w:p>
    <w:p>
      <w:pPr>
        <w:spacing w:after="0" w:line="111"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Collaboration agreements may require us to incur non-recurring and other charges, increase our near- and long-term expenditures, issue securities that dilute our existing stockholders, or disrupt our management and business. For more information, see the section titled “Business—Our License and Collaboration Agreements.”</w:t>
      </w:r>
    </w:p>
    <w:p>
      <w:pPr>
        <w:spacing w:after="0" w:line="88" w:lineRule="exact"/>
        <w:rPr>
          <w:sz w:val="20"/>
          <w:szCs w:val="20"/>
          <w:color w:val="auto"/>
        </w:rPr>
      </w:pPr>
    </w:p>
    <w:p>
      <w:pPr>
        <w:ind w:left="120" w:right="180"/>
        <w:spacing w:after="0" w:line="261" w:lineRule="auto"/>
        <w:rPr>
          <w:sz w:val="20"/>
          <w:szCs w:val="20"/>
          <w:color w:val="auto"/>
        </w:rPr>
      </w:pPr>
      <w:r>
        <w:rPr>
          <w:rFonts w:ascii="Arial" w:cs="Arial" w:eastAsia="Arial" w:hAnsi="Arial"/>
          <w:sz w:val="17"/>
          <w:szCs w:val="17"/>
          <w:color w:val="auto"/>
        </w:rPr>
        <w:t>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or our collaborators may develop, we may not be able to realize the benefit of such transactions if we are unable to successfully integrate them with our existing operations and company culture.</w:t>
      </w:r>
    </w:p>
    <w:p>
      <w:pPr>
        <w:spacing w:after="0" w:line="98"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We may also be restricted under existing collaboration agreements from entering into future collaboration agreements on certain terms with potential collaborators. In addition, there have been a significant number of recent business combinations among large pharmaceutical companies that have resulted in a reduced number of potential future collaborators, which further increases competition we face in seeking potential collaborations.</w:t>
      </w:r>
    </w:p>
    <w:p>
      <w:pPr>
        <w:spacing w:after="0" w:line="106"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Additionally, subject to its contractual obligations to us, if a collaborator of ours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adversely affected.</w:t>
      </w:r>
    </w:p>
    <w:p>
      <w:pPr>
        <w:spacing w:after="0" w:line="95" w:lineRule="exact"/>
        <w:rPr>
          <w:sz w:val="20"/>
          <w:szCs w:val="20"/>
          <w:color w:val="auto"/>
        </w:rPr>
      </w:pPr>
    </w:p>
    <w:p>
      <w:pPr>
        <w:ind w:left="120" w:right="660"/>
        <w:spacing w:after="0" w:line="278" w:lineRule="auto"/>
        <w:rPr>
          <w:sz w:val="20"/>
          <w:szCs w:val="20"/>
          <w:color w:val="auto"/>
        </w:rPr>
      </w:pPr>
      <w:r>
        <w:rPr>
          <w:rFonts w:ascii="Arial" w:cs="Arial" w:eastAsia="Arial" w:hAnsi="Arial"/>
          <w:sz w:val="18"/>
          <w:szCs w:val="18"/>
          <w:b w:val="1"/>
          <w:bCs w:val="1"/>
          <w:i w:val="1"/>
          <w:iCs w:val="1"/>
          <w:color w:val="auto"/>
        </w:rPr>
        <w:t>Our collaborators and strategic partners may control aspects of our clinical trials, which could result in delays and other obstacles in the commercialization of our proposed products and materially harm our results of operations.</w:t>
      </w:r>
    </w:p>
    <w:p>
      <w:pPr>
        <w:spacing w:after="0" w:line="72"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For some programs, we will depend on third party collaborators and strategic partners to design and conduct our clinical trials. As a result, we may not be able to conduct these programs in the manner or on the time schedule we currently contemplate, which may negatively impact our business operations. In addition, if any of these collaborators or strategic partners withdraw support for our programs or proposed products or otherwise impair their development, our business could be negatively affected.</w:t>
      </w:r>
    </w:p>
    <w:p>
      <w:pPr>
        <w:spacing w:after="0" w:line="106"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 xml:space="preserve">In October 2021, we entered into a Strategic Collaboration and License Agreement with Moderna focused on advancing new genome editing system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human therapeutic applications, in June 2022, we entered into a Development, Option and License Agreement with Affini-T to develop and commercialize gene edited TCR-based therapeutic products exclusively in the field of treatment, prevention or diagnosis of any human cancer using products with any engineered primary TCR alpha/beta T cells and non-exclusively in the field of</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55"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44" w:lineRule="auto"/>
        <w:rPr>
          <w:sz w:val="20"/>
          <w:szCs w:val="20"/>
          <w:color w:val="auto"/>
        </w:rPr>
      </w:pPr>
      <w:r>
        <w:rPr>
          <w:rFonts w:ascii="Arial" w:cs="Arial" w:eastAsia="Arial" w:hAnsi="Arial"/>
          <w:sz w:val="18"/>
          <w:szCs w:val="18"/>
          <w:color w:val="auto"/>
        </w:rPr>
        <w:t>treatment, prevention or diagnosis of any human cancer using products with certain other engineered immune cells worldwide, and in November 2022, we entered into a Collaboration and License Agreement with Ionis to research, develop and commercialize investigational medicines for up to eight potential genetic targets using genome editing technologies. Our lack of control over the clinical development in our agreements with Moderna, Affini-T and Ionis could cause delays or other difficulties in the development and commercialization of product candidates, which may prevent completion of intended IND applications in a timely fashion, if at all.</w:t>
      </w:r>
    </w:p>
    <w:p>
      <w:pPr>
        <w:spacing w:after="0" w:line="109"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color w:val="auto"/>
        </w:rPr>
        <w:t>In addition, the termination of these agreements would prevent us from receiving any milestone, royalty payments and other benefits under that agreement, which would have a materially adverse effect on our results of operations.</w:t>
      </w:r>
    </w:p>
    <w:p>
      <w:pPr>
        <w:spacing w:after="0" w:line="88" w:lineRule="exact"/>
        <w:rPr>
          <w:sz w:val="20"/>
          <w:szCs w:val="20"/>
          <w:color w:val="auto"/>
        </w:rPr>
      </w:pPr>
    </w:p>
    <w:p>
      <w:pPr>
        <w:ind w:left="120" w:right="120"/>
        <w:spacing w:after="0" w:line="309" w:lineRule="auto"/>
        <w:rPr>
          <w:sz w:val="20"/>
          <w:szCs w:val="20"/>
          <w:color w:val="auto"/>
        </w:rPr>
      </w:pPr>
      <w:r>
        <w:rPr>
          <w:rFonts w:ascii="Arial" w:cs="Arial" w:eastAsia="Arial" w:hAnsi="Arial"/>
          <w:sz w:val="17"/>
          <w:szCs w:val="17"/>
          <w:b w:val="1"/>
          <w:bCs w:val="1"/>
          <w:i w:val="1"/>
          <w:iCs w:val="1"/>
          <w:color w:val="auto"/>
        </w:rPr>
        <w:t>Our collaborators or strategic partners may decide to adopt alternative technologies or may be unable to develop commercially viable products with our technology, which would negatively impact our revenues and our strategy to develop these products.</w:t>
      </w:r>
    </w:p>
    <w:p>
      <w:pPr>
        <w:spacing w:after="0" w:line="35"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Our collaborators or strategic partners may adopt alternative technologies, which could decrease the marketability of our genome editing technology. Additionally, because our current or future collaborators or strategic partners are likely to be working on more than one development project, they could choose to shift their resources to projects other than those they are working on with us. If they do so, this would delay our ability to test our technology and would delay or terminate the development of potential products based on our genome editing technology. Further, our collaborators and strategic partners may elect not to develop products arising out of our collaborative and strategic partnering arrangements or to devote sufficient resources to the development, manufacturing, marketing or sale of these products. The failure to develop and commercialize a product candidate pursuant to our agreements with our current or future collaborators would prevent us from receiving future milestone and royalty payments which would negatively impact our revenues.</w:t>
      </w:r>
    </w:p>
    <w:p>
      <w:pPr>
        <w:spacing w:after="0" w:line="115"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i w:val="1"/>
          <w:iCs w:val="1"/>
          <w:color w:val="auto"/>
        </w:rPr>
        <w:t>We expect to rely on third parties to conduct our clinical trials and some aspects of our research, as well as some aspects of our delivery methods, and those third parties may not perform satisfactorily, including failing to meet deadlines for the completion of such trials, research or testing.</w:t>
      </w:r>
    </w:p>
    <w:p>
      <w:pPr>
        <w:spacing w:after="0" w:line="92"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We expect to rely on third parties, such as CROs, clinical data management organizations, medical institutions, preclinical laboratories and clinical investigators, to conduct some aspects of our research. For example, we may rely on a third party to supply LNPs or AAVs, or to conduct our preclinical animal experiments. Any of these third parties may terminate their engagements with us at any time under certain criteria. If we need to enter into alternative arrangements, it may delay our product development activities.</w:t>
      </w:r>
    </w:p>
    <w:p>
      <w:pPr>
        <w:spacing w:after="0" w:line="93"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Our reliance on these third parties for clinical research and other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the EMA and other regulatory authorities require us and the study sites and investigators we work with to comply with standards, commonly referred to as GLPs and GCPs for conducting, recording and reporting the results of preclinical studies and clinical trials to assure, amongst other things, that data and reported results are credible and accurate and that the rights, integrity and confidentiality of trial participants are protected. In the United States, we also are required to register certain clinical trials and post the results of completed clinical trials on a government-sponsored database, ClinicalTrials.gov, within certain timeframes. Failure to do so can result in fines, adverse publicity and civil and criminal sanctions.</w:t>
      </w:r>
    </w:p>
    <w:p>
      <w:pPr>
        <w:spacing w:after="0" w:line="116"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auto"/>
        </w:rPr>
        <w:t>Although we intend to design the preclinical studies and clinical trials for our potential product candidates, CROs will conduct some or all of the preclinical studies and clinical trials. As a result, many important aspects of our development programs, including their conduct and timing, will be outside of our direct control. Our reliance on third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parties to conduct preclinical studies and future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Among other reasons that may delay or impact the development of our potential product candidates, outside parties may:</w:t>
      </w:r>
    </w:p>
    <w:p>
      <w:pPr>
        <w:spacing w:after="0" w:line="106" w:lineRule="exact"/>
        <w:rPr>
          <w:sz w:val="20"/>
          <w:szCs w:val="20"/>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44"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These factors may materially adversely affect the willingness or ability of third parties to conduct our preclinical studies and clinical trials and may subject us to unexpected cost increases that are beyond our control. If the CROs and other third parties do not perform such preclinical studies and future clinical trials in a satisfactory manner, breach their obligations to us or fail to comply with regulatory requirements, the development, regulatory approval and commercialization of our potential product candidates may be delayed, we may not be able to obtain regulatory approval and commercialize our potential product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spacing w:after="0" w:line="113"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We may also expect to rely on other third parties to store and distribute drug supplies for our future clinical trials. Any performance failure on the part of our distributors could delay clinical development or regulatory approval of any product candidates we may develop or commercialization of our therapies, producing additional losses and depriving us of potential product revenue.</w:t>
      </w:r>
    </w:p>
    <w:p>
      <w:pPr>
        <w:spacing w:after="0" w:line="90" w:lineRule="exact"/>
        <w:rPr>
          <w:sz w:val="20"/>
          <w:szCs w:val="20"/>
          <w:color w:val="auto"/>
        </w:rPr>
      </w:pPr>
    </w:p>
    <w:p>
      <w:pPr>
        <w:ind w:left="120" w:right="40"/>
        <w:spacing w:after="0" w:line="245" w:lineRule="auto"/>
        <w:rPr>
          <w:sz w:val="20"/>
          <w:szCs w:val="20"/>
          <w:color w:val="auto"/>
        </w:rPr>
      </w:pPr>
      <w:r>
        <w:rPr>
          <w:rFonts w:ascii="Arial" w:cs="Arial" w:eastAsia="Arial" w:hAnsi="Arial"/>
          <w:sz w:val="18"/>
          <w:szCs w:val="18"/>
          <w:b w:val="1"/>
          <w:bCs w:val="1"/>
          <w:i w:val="1"/>
          <w:iCs w:val="1"/>
          <w:color w:val="auto"/>
        </w:rPr>
        <w:t>Manufacturing biologic products is complex and subject to product loss for a variety of reasons. We contract with third parties for the manufacture of certain materials for our development programs and expect to continue to do so for clinical trials and commercialization. This reliance on third parties increases the risk that we will not have sufficient quantities of our future product candidates or products or such quantities at an acceptable cost or quality, which could delay, prevent or impair our development or commercialization efforts.</w:t>
      </w:r>
    </w:p>
    <w:p>
      <w:pPr>
        <w:spacing w:after="0" w:line="103" w:lineRule="exact"/>
        <w:rPr>
          <w:sz w:val="20"/>
          <w:szCs w:val="20"/>
          <w:color w:val="auto"/>
        </w:rPr>
      </w:pPr>
    </w:p>
    <w:p>
      <w:pPr>
        <w:ind w:left="120"/>
        <w:spacing w:after="0" w:line="255" w:lineRule="auto"/>
        <w:rPr>
          <w:sz w:val="20"/>
          <w:szCs w:val="20"/>
          <w:color w:val="auto"/>
        </w:rPr>
      </w:pPr>
      <w:r>
        <w:rPr>
          <w:rFonts w:ascii="Arial" w:cs="Arial" w:eastAsia="Arial" w:hAnsi="Arial"/>
          <w:sz w:val="17"/>
          <w:szCs w:val="17"/>
          <w:color w:val="auto"/>
        </w:rPr>
        <w:t>We operate and are expanding our cGMP manufacturing facility which is currently capable of manufacturing clinical grade nucleases and mRNA to supply both wholly-owned and collaboration programs. We also partner with CMOs for guide RNA (“gRNA”) and DNA template development and supply. We also rely, and expect to continue to rely, on third parties for gRNA and DNA template development and supply, as well as for preclinical and clinical testing and commercial manufacture if any of our product candidates receive regulatory approval. We also expect to rely on these third parties for certain logistics, including packaging, labeling, storage, and distribution. This reliance on third parties increases the risk that we will not have sufficient quantities of our materials or future product candidates or products or such quantities at an acceptable cost or quality, which could delay, prevent or impair our development or commercialization efforts.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02" w:lineRule="exact"/>
        <w:rPr>
          <w:sz w:val="20"/>
          <w:szCs w:val="20"/>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320" w:top="455" w:right="5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or our third-party manufacturers may encounter shortages in the raw materials or active pharmaceutical ingredients necessary to produce our future product candidates in the quantities needed for our preclinical studies or clinical trials or, if our future product candidates are approved, in sufficient quantities for commercialization or to meet an increase in demand, as a result of capacity constraints or delays or disruptions in the market for the raw materials or active pharmaceutical ingredients, including shortages caused by the purchase of such raw materials or active pharmaceutical ingredient by our competitors or others. The failure of us or our third-party manufacturers to obtain the raw materials or active pharmaceutical ingredients necessary to manufacture sufficient quantities of our future product candidates may have a material adverse effect on our business.</w:t>
      </w:r>
    </w:p>
    <w:p>
      <w:pPr>
        <w:spacing w:after="0" w:line="117"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Components of a finished therapeutic product approved for commercial sale or used in late-stage clinical trials must be manufactured in accordance with cGMP. We, along with our third-party manufacturers, are subject to inspection and approval by regulatory authorities before we can commence the manufacture and sale of any of our future product candidates, and thereafter subject to ongoing inspection from time to time. We or our third-party manufacturers may not be able to comply with cGMP or similar regulatory requirements outside of the United States. Our failure, or the failure of our third-party manufacturers, to comply with applicable regulations could result in regulatory actions, such as the issuance of FDA Form 483 notices of observations, warning letters or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02"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Manufacturing biologic products, such as the product candidates we intend to develop, is complex, especially in large quantities. Biologic products must be made consistently and in compliance with a clearly defined manufacturing process. Accordingly, it is essential to be able to validate and control the manufacturing process to assure that it is reproducible. Any product candidates and products that we may develop may compete with other product candidates and products for access to manufacturing facilities. As a result, we may not obtain access to these facilities on a priority basis or at all. There are a limited number of manufacturers that operate under cGMP and that might be capable of manufacturing for us.</w:t>
      </w:r>
    </w:p>
    <w:p>
      <w:pPr>
        <w:spacing w:after="0" w:line="11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regulatory approval. We do not currently have arrangements in place for redundant supply or a source for bulk drug substance nor do we have any agreements with third-party manufacturers for long-term commercial supply. If any of our contract manufacturers cannot perform as agreed, we may be required to replace such manufacturers. Although we believe that there are several potential alternative manufacturers who could manufacture materials or future product candidates or products we may develop, we may incur added costs and delays in identifying and qualifying any such replacement or be unable to reach agreement with an alternative manufacturer. If we are required to change third party-manufacturers for any reason, we will be required to verify that the new third party-manufacturer maintains facilities and procedures that comply with quality standards and with all applicable regulations. We will also need to verify, such as through a manufacturing comparability study, that any new manufacturing process will produce our materials or future product candidates or products according to the specifications previously submitted to the FDA or another regulatory authority. The delays associated with the verification of a new third party-manufacturer could negatively affect our ability to develop product candidates or commercialize our products in a timely manner or within budget. Furthermore, a third party-manufacturer may possess technology related to the manufacture of</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materials or future product candidates or products that such third party-manufacturer owns independently. This would increase our reliance on such third party-manufacturer or require us to obtain a license from such third party-manufacturer in order to have another third party-manufacturer manufacture our materials or future product candidates or products, which may not be available on commercially reasonable terms, or at all.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17" w:lineRule="exact"/>
        <w:rPr>
          <w:sz w:val="20"/>
          <w:szCs w:val="20"/>
          <w:color w:val="auto"/>
        </w:rPr>
      </w:pPr>
    </w:p>
    <w:p>
      <w:pPr>
        <w:jc w:val="both"/>
        <w:ind w:left="120" w:right="680"/>
        <w:spacing w:after="0" w:line="241" w:lineRule="auto"/>
        <w:rPr>
          <w:sz w:val="20"/>
          <w:szCs w:val="20"/>
          <w:color w:val="auto"/>
        </w:rPr>
      </w:pPr>
      <w:r>
        <w:rPr>
          <w:rFonts w:ascii="Arial" w:cs="Arial" w:eastAsia="Arial" w:hAnsi="Arial"/>
          <w:sz w:val="18"/>
          <w:szCs w:val="18"/>
          <w:color w:val="auto"/>
        </w:rPr>
        <w:t>Our current and anticipated future dependence upon others for the manufacture of materials and any future product candidates or products we may develop may adversely affect our future profit margins and our ability to commercialize any products that receive regulatory approval on a timely and competitive basis.</w:t>
      </w:r>
    </w:p>
    <w:p>
      <w:pPr>
        <w:spacing w:after="0" w:line="2"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Our relationships with healthcare providers, physicians, and third-party payors will be subject to applicable anti-kickback, fraud and abuse, anti-bribery and other healthcare laws and regulations, which could expose us to criminal sanctions, civil penalties, contractual damages, reputational harm, and diminished profits and future earnings.</w:t>
      </w:r>
    </w:p>
    <w:p>
      <w:pPr>
        <w:spacing w:after="0" w:line="114" w:lineRule="exact"/>
        <w:rPr>
          <w:sz w:val="20"/>
          <w:szCs w:val="20"/>
          <w:color w:val="auto"/>
        </w:rPr>
      </w:pPr>
    </w:p>
    <w:p>
      <w:pPr>
        <w:jc w:val="both"/>
        <w:ind w:left="120" w:right="80"/>
        <w:spacing w:after="0" w:line="256"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anti-bribery and other healthcare laws and regulations, which could expose us to criminal sanctions, civil penalties, contractual damages, reputational harm, and diminished profits and future earnings.</w:t>
      </w:r>
    </w:p>
    <w:p>
      <w:pPr>
        <w:spacing w:after="0" w:line="78" w:lineRule="exact"/>
        <w:rPr>
          <w:sz w:val="20"/>
          <w:szCs w:val="20"/>
          <w:color w:val="auto"/>
        </w:rPr>
      </w:pPr>
    </w:p>
    <w:p>
      <w:pPr>
        <w:ind w:left="120"/>
        <w:spacing w:after="0" w:line="259" w:lineRule="auto"/>
        <w:rPr>
          <w:sz w:val="20"/>
          <w:szCs w:val="20"/>
          <w:color w:val="auto"/>
        </w:rPr>
      </w:pPr>
      <w:r>
        <w:rPr>
          <w:rFonts w:ascii="Arial" w:cs="Arial" w:eastAsia="Arial" w:hAnsi="Arial"/>
          <w:sz w:val="17"/>
          <w:szCs w:val="17"/>
          <w:color w:val="auto"/>
        </w:rPr>
        <w:t>Healthcare providers, including physicians, and third-party payors play a primary role in the recommendation and prescription of any product candidates that we may develop for which we obtain regulatory approval and marketing approval. Our current and future arrangements with third-party payors, healthcare providers and customers may expose us to broadly applicable fraud and abuse and other healthcare laws and regulations that may constrain the business or financial arrangements and relationships through which we market, sell, and distribute our products for which we obtain regulatory approval. Restrictions under applicable federal and state healthcare laws and regulations, including certain laws and regulations applicable only if we have marketed products, include the following:</w:t>
      </w:r>
    </w:p>
    <w:p>
      <w:pPr>
        <w:spacing w:after="0" w:line="98" w:lineRule="exact"/>
        <w:rPr>
          <w:sz w:val="20"/>
          <w:szCs w:val="20"/>
          <w:color w:val="auto"/>
        </w:rPr>
      </w:pPr>
    </w:p>
    <w:p>
      <w:pPr>
        <w:ind w:left="340" w:right="60" w:hanging="224"/>
        <w:spacing w:after="0" w:line="24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civil FCA, prohibits knowingly presenting or causing the presentation of a false, fictitious or fraudulent claim for payment to the U.S. government. Actions under the FCA may be brought by the Attorney General or as a qui tam action by a private individual in the name of the government. Violations of the FCA can result in very significant monetary penalties, for each false claim and treble the amount of the government’s damages. Manufacturers can be held liable under the FCA even when they do not submit claims directly to government payors if they are deemed to “cause” the submission of false or fraudulent claims;</w:t>
      </w:r>
    </w:p>
    <w:p>
      <w:pPr>
        <w:spacing w:after="0" w:line="108" w:lineRule="exact"/>
        <w:rPr>
          <w:rFonts w:ascii="Arial" w:cs="Arial" w:eastAsia="Arial" w:hAnsi="Arial"/>
          <w:sz w:val="18"/>
          <w:szCs w:val="18"/>
          <w:color w:val="auto"/>
        </w:rPr>
      </w:pPr>
    </w:p>
    <w:p>
      <w:pPr>
        <w:ind w:left="340" w:hanging="224"/>
        <w:spacing w:after="0" w:line="242"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The federal Anti-Kickback Statute has been interpreted to apply to arrangements between manufacturers on one hand and prescribers, purchasers, and formulary managers on the other. A person or entity does not need to have actual knowledge of the statute or specific intent to violate it in order to have committed a violation. A violation of the federal Anti-Kickback Statute can also form the basis for FCA liability;</w:t>
      </w:r>
    </w:p>
    <w:p>
      <w:pPr>
        <w:spacing w:after="0" w:line="111" w:lineRule="exact"/>
        <w:rPr>
          <w:rFonts w:ascii="Arial" w:cs="Arial" w:eastAsia="Arial" w:hAnsi="Arial"/>
          <w:sz w:val="18"/>
          <w:szCs w:val="18"/>
          <w:color w:val="auto"/>
        </w:rPr>
      </w:pPr>
    </w:p>
    <w:p>
      <w:pPr>
        <w:ind w:left="340" w:right="160" w:hanging="224"/>
        <w:spacing w:after="0" w:line="24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HIPAA, which, in addition to privacy protections applicable to healthcare providers and other entities, prohibits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line="239"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(“HITECH”), and its implementing regulations, including the final omnibus rule published on January 25, 2013, imposes, among other things, certain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transmit, or obtain, protected health information in connection with providing a service for or on behalf of a covered entity, and their covered subcontractors.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15" w:lineRule="exact"/>
        <w:rPr>
          <w:rFonts w:ascii="Arial" w:cs="Arial" w:eastAsia="Arial" w:hAnsi="Arial"/>
          <w:sz w:val="18"/>
          <w:szCs w:val="18"/>
          <w:color w:val="auto"/>
        </w:rPr>
      </w:pPr>
    </w:p>
    <w:p>
      <w:pPr>
        <w:ind w:left="340" w:right="540" w:hanging="224"/>
        <w:spacing w:after="0" w:line="271"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FDCA, which among other things, strictly regulates drug marketing, prohibits manufacturers from marketing such products for off-label use and regulates the distribution of samples;</w:t>
      </w:r>
    </w:p>
    <w:p>
      <w:pPr>
        <w:spacing w:after="0" w:line="86" w:lineRule="exact"/>
        <w:rPr>
          <w:rFonts w:ascii="Arial" w:cs="Arial" w:eastAsia="Arial" w:hAnsi="Arial"/>
          <w:sz w:val="18"/>
          <w:szCs w:val="18"/>
          <w:color w:val="auto"/>
        </w:rPr>
      </w:pPr>
    </w:p>
    <w:p>
      <w:pPr>
        <w:jc w:val="both"/>
        <w:ind w:left="340" w:right="100" w:hanging="224"/>
        <w:spacing w:after="0" w:line="253"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01" w:lineRule="exact"/>
        <w:rPr>
          <w:rFonts w:ascii="Arial" w:cs="Arial" w:eastAsia="Arial" w:hAnsi="Arial"/>
          <w:sz w:val="18"/>
          <w:szCs w:val="18"/>
          <w:color w:val="auto"/>
        </w:rPr>
      </w:pPr>
    </w:p>
    <w:p>
      <w:pPr>
        <w:ind w:left="340" w:right="80" w:hanging="224"/>
        <w:spacing w:after="0" w:line="238"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federal transparency laws, including the federal Physician Payment Sunshine Act created under the Patient Protection and Affordable Care Act as amended by the Health Care and Education Reconciliation Act of 2010 (collectively, the ACA), and its implementing regulations, which requires manufacturers of certain drugs, devices, medical supplies, and biologics, among others, to track and disclose payments under Medicare, Medicaid or the Children’s Health Insurance Program (with certain exceptions) and other transfers of value they make to U.S.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to certain non-physician providers such as physician assistants and nurse practitioners. This information is subsequently made publicly available in a searchable format on a Centers for Medicare &amp; Medicaid Services (“CMS”) website. Failure to disclose required information may result in civil monetary penalties for all payments, transfers of value or ownership or investment interests that are not timely, accurately and completely reported in an annual submission. Certain states also mandate implementation of compliance programs, impose restrictions on drug manufacturer marketing practices and/or require the tracking and reporting of gifts, compensation and other remuneration to physicians and/or other healthcare providers; and</w:t>
      </w:r>
    </w:p>
    <w:p>
      <w:pPr>
        <w:spacing w:after="0" w:line="112" w:lineRule="exact"/>
        <w:rPr>
          <w:rFonts w:ascii="Arial" w:cs="Arial" w:eastAsia="Arial" w:hAnsi="Arial"/>
          <w:sz w:val="18"/>
          <w:szCs w:val="18"/>
          <w:color w:val="auto"/>
        </w:rPr>
      </w:pPr>
    </w:p>
    <w:p>
      <w:pPr>
        <w:ind w:left="340" w:right="240" w:hanging="224"/>
        <w:spacing w:after="0" w:line="271"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anti-bribery and false claims laws, which may apply to healthcare items or services that are reimbursed by non-governmental third-party payors, including private insurers.</w:t>
      </w:r>
    </w:p>
    <w:p>
      <w:pPr>
        <w:spacing w:after="0" w:line="86" w:lineRule="exact"/>
        <w:rPr>
          <w:sz w:val="20"/>
          <w:szCs w:val="20"/>
          <w:color w:val="auto"/>
        </w:rPr>
      </w:pPr>
    </w:p>
    <w:p>
      <w:pPr>
        <w:jc w:val="both"/>
        <w:ind w:left="120" w:right="540"/>
        <w:spacing w:after="0" w:line="253" w:lineRule="auto"/>
        <w:rPr>
          <w:sz w:val="20"/>
          <w:szCs w:val="20"/>
          <w:color w:val="auto"/>
        </w:rPr>
      </w:pPr>
      <w:r>
        <w:rPr>
          <w:rFonts w:ascii="Arial" w:cs="Arial" w:eastAsia="Arial" w:hAnsi="Arial"/>
          <w:sz w:val="18"/>
          <w:szCs w:val="18"/>
          <w:color w:val="auto"/>
        </w:rPr>
        <w:t>Some state laws also require pharmaceutical companies to comply with specific compliance standards, restrict financial interactions between pharmaceutical companies and healthcare providers or require pharmaceutical companies to report information related to payments to healthcare providers or marketing expenditures.</w:t>
      </w:r>
    </w:p>
    <w:p>
      <w:pPr>
        <w:spacing w:after="0" w:line="101"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significant penalties, including civil and criminal penalties, damages, fines, exclusion from participation in government healthcare programs, such as</w:t>
      </w:r>
    </w:p>
    <w:p>
      <w:pPr>
        <w:spacing w:after="0" w:line="11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color w:val="auto"/>
        </w:rPr>
        <w:t>Medicare and Medicaid, individual imprisonment, and the curtailment or restructuring of our operations, any of which could adversely affect our business, financial condition, results of operations, and prospects.</w:t>
      </w:r>
    </w:p>
    <w:p>
      <w:pPr>
        <w:spacing w:after="0" w:line="86"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also induce or reward improper performance generally is governed by the national anti-bribery laws of European Union Member States, and the Bribery Act 2010 in the United Kingdom.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United Kingdom despite its departure from the EU.</w:t>
      </w:r>
    </w:p>
    <w:p>
      <w:pPr>
        <w:spacing w:after="0" w:line="116"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Personnel, Operations, and Growth</w:t>
      </w:r>
    </w:p>
    <w:p>
      <w:pPr>
        <w:spacing w:after="0" w:line="150" w:lineRule="exact"/>
        <w:rPr>
          <w:sz w:val="20"/>
          <w:szCs w:val="20"/>
          <w:color w:val="auto"/>
        </w:rPr>
      </w:pPr>
    </w:p>
    <w:p>
      <w:pPr>
        <w:ind w:left="120" w:right="220"/>
        <w:spacing w:after="0" w:line="278" w:lineRule="auto"/>
        <w:rPr>
          <w:sz w:val="20"/>
          <w:szCs w:val="20"/>
          <w:color w:val="auto"/>
        </w:rPr>
      </w:pPr>
      <w:r>
        <w:rPr>
          <w:rFonts w:ascii="Arial" w:cs="Arial" w:eastAsia="Arial" w:hAnsi="Arial"/>
          <w:sz w:val="18"/>
          <w:szCs w:val="18"/>
          <w:b w:val="1"/>
          <w:bCs w:val="1"/>
          <w:i w:val="1"/>
          <w:iCs w:val="1"/>
          <w:color w:val="auto"/>
        </w:rPr>
        <w:t>Our future success depends on our ability to retain our Chief Executive Officer and other key executives and to attract, retain, and motivate qualified personnel.</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highly dependent on Brian C. Thomas, our Chief Executive Officer as well as the other principal members of our management and scientific teams. Dr. Thomas and such other principal members are engaged “at will,” meaning we or they may terminate the relationship at any time. We do not maintain “key person” insurance for any of our executives or other employees. The loss of the services of any of these persons could impede the achievement of our research, development and commercialization objectives. For us to successfully compete and grow, we must recruit, retain, and develop talent who can provide the necessary expertise across a broad spectrum of disciplines. In addition, we must develop, maintain and, as necessary, implement appropriate succession plans to ensure we have the necessary human capital capable of maintaining continuity in our business.</w:t>
      </w:r>
    </w:p>
    <w:p>
      <w:pPr>
        <w:spacing w:after="0" w:line="117"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In addition, our company-building efforts and establishment of a company culture will also be important to developing an innovative company in a high-evolving area. We may not be able to succeed in these efforts to build Metagenomi as an attractive and exciting place to build a career or to attract and retain these types of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including our scientific co-founders, may be employed by employers other than us and may have commitments under consulting or advisory contracts with other entities that may limit their availability to us. We may also encounter problems hiring and retaining the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5"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Arial" w:cs="Arial" w:eastAsia="Arial" w:hAnsi="Arial"/>
          <w:sz w:val="17"/>
          <w:szCs w:val="17"/>
          <w:color w:val="auto"/>
        </w:rPr>
        <w:t>experienced scientific, quality control and manufacturing personnel needed to manage our manufacturing process, which could result in delays in our production or difficulties in maintaining compliance with applicable regulatory requirements. The inability to recruit, or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94" w:lineRule="exact"/>
        <w:rPr>
          <w:sz w:val="20"/>
          <w:szCs w:val="20"/>
          <w:color w:val="auto"/>
        </w:rPr>
      </w:pPr>
    </w:p>
    <w:p>
      <w:pPr>
        <w:ind w:left="120" w:right="40"/>
        <w:spacing w:after="0" w:line="256" w:lineRule="auto"/>
        <w:rPr>
          <w:sz w:val="20"/>
          <w:szCs w:val="20"/>
          <w:color w:val="auto"/>
        </w:rPr>
      </w:pPr>
      <w:r>
        <w:rPr>
          <w:rFonts w:ascii="Arial" w:cs="Arial" w:eastAsia="Arial" w:hAnsi="Arial"/>
          <w:sz w:val="18"/>
          <w:szCs w:val="18"/>
          <w:b w:val="1"/>
          <w:bCs w:val="1"/>
          <w:i w:val="1"/>
          <w:iCs w:val="1"/>
          <w:color w:val="auto"/>
        </w:rPr>
        <w:t>We expect to expand our research, development, delivery, manufacturing, commercialization, regulatory, and future sales and marketing capabilities over time, and as a result, we may encounter difficulties in managing our growth, which could disrupt our operations.</w:t>
      </w:r>
    </w:p>
    <w:p>
      <w:pPr>
        <w:spacing w:after="0" w:line="92" w:lineRule="exact"/>
        <w:rPr>
          <w:sz w:val="20"/>
          <w:szCs w:val="20"/>
          <w:color w:val="auto"/>
        </w:rPr>
      </w:pPr>
    </w:p>
    <w:p>
      <w:pPr>
        <w:ind w:left="120" w:right="60"/>
        <w:spacing w:after="0" w:line="253" w:lineRule="auto"/>
        <w:rPr>
          <w:sz w:val="20"/>
          <w:szCs w:val="20"/>
          <w:color w:val="auto"/>
        </w:rPr>
      </w:pPr>
      <w:r>
        <w:rPr>
          <w:rFonts w:ascii="Arial" w:cs="Arial" w:eastAsia="Arial" w:hAnsi="Arial"/>
          <w:sz w:val="17"/>
          <w:szCs w:val="17"/>
          <w:color w:val="auto"/>
        </w:rPr>
        <w:t>We may fail to manage our growth effectively. As of June 30, 2023, we had more than 200 full-time employees, of which 69 have M.D. or Ph.D. degrees. Within our workforce, 176 employees are engaged in research and development and 35 are engaged in business development, finance, legal, and general management and administration. In connection with the growth and advancement of our pipeline and becoming a public company, we expect to increase the number of our employees and the scope of our operations, particularly in the areas of research and clinical development, regulatory affairs and, if any of our future product candidates receive regulatory approval,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Any inability to manage growth could delay the execution of our business plans or disrupt our operations.</w:t>
      </w:r>
    </w:p>
    <w:p>
      <w:pPr>
        <w:spacing w:after="0" w:line="96"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As a growing biotechnology company, we are actively developing our platform technology and pursuing development of future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We will need to transition from a company with a research focus to a company capable of conducting clinical trials and ultimately supporting commercial activities if any of our product candidates are approved. We may not be successful in such a transition.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potential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any product candidates we may develop will depend in part on our ability to effectively manage the future development and expansion of our company, and may prevent us from achieving or maintaining profitability. We cannot assure you that we will be able to compete effectively in the future against existing or new competitors, and our failure to do so could harm our business, financial condition, and results of operations.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jc w:val="both"/>
        <w:ind w:left="120" w:right="340"/>
        <w:spacing w:after="0" w:line="278" w:lineRule="auto"/>
        <w:rPr>
          <w:sz w:val="20"/>
          <w:szCs w:val="20"/>
          <w:color w:val="auto"/>
        </w:rPr>
      </w:pPr>
      <w:r>
        <w:rPr>
          <w:rFonts w:ascii="Arial" w:cs="Arial" w:eastAsia="Arial" w:hAnsi="Arial"/>
          <w:sz w:val="17"/>
          <w:szCs w:val="17"/>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biologics or modifications to approved biologics to be reviewed and/or approved by necessary government agencies, which would adversely affect our business.</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Intellectual Property</w:t>
      </w:r>
    </w:p>
    <w:p>
      <w:pPr>
        <w:spacing w:after="0" w:line="150" w:lineRule="exact"/>
        <w:rPr>
          <w:sz w:val="20"/>
          <w:szCs w:val="20"/>
          <w:color w:val="auto"/>
        </w:rPr>
      </w:pPr>
    </w:p>
    <w:p>
      <w:pPr>
        <w:ind w:left="120"/>
        <w:spacing w:after="0" w:line="249" w:lineRule="auto"/>
        <w:rPr>
          <w:sz w:val="20"/>
          <w:szCs w:val="20"/>
          <w:color w:val="auto"/>
        </w:rPr>
      </w:pPr>
      <w:r>
        <w:rPr>
          <w:rFonts w:ascii="Arial" w:cs="Arial" w:eastAsia="Arial" w:hAnsi="Arial"/>
          <w:sz w:val="18"/>
          <w:szCs w:val="18"/>
          <w:b w:val="1"/>
          <w:bCs w:val="1"/>
          <w:i w:val="1"/>
          <w:iCs w:val="1"/>
          <w:color w:val="auto"/>
        </w:rPr>
        <w:t>Our commercial success depends on our ability to obtain, maintain, enforce, and otherwise protect our intellectual property and proprietary technology, and if the scope of the intellectual property protection obtained is not sufficiently broad, our competitors or other third parties could develop and commercialize products and product candidates similar to ours and our ability to successfully develop and commercialize our genome editing systems may be adversely affected.</w:t>
      </w:r>
    </w:p>
    <w:p>
      <w:pPr>
        <w:spacing w:after="0" w:line="98"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Our commercial success depends, in large part, on our ability to obtain and maintain intellectual property rights protection through patents, trademarks, and trade secrets in the United States and other countries with respect to our proprietary genome editing systems. If we do not adequately protect our intellectual property rights, competitors or other third parties may be able to erode, negate or preempt any competitive advantage we may have, which could harm our business and ability to achieve profitability. To protect our proprietary position, we have filed patent applications and may file other patent applications in the United States or abroad related to our genome editing systems that are important to our business; we may also license or purchase patents or patent applications filed by others. The patent application process is expensive, time-consuming and complex. We may not be able to file, prosecute, maintain, enforce or license all necessary or desirable patent applications at a reasonable cost or in a timely manner.</w:t>
      </w:r>
    </w:p>
    <w:p>
      <w:pPr>
        <w:spacing w:after="0" w:line="99"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We may not be able to obtain patents on certain inventions if those inventions are publicly disclosed prior to our filing a patent application covering them. We enter into nondisclosure and confidentiality agreements with parties who have access to confidential information, including confidential information regarding inventions not yet disclosed in patent applications. We cannot guarantee that any of these parties will not breach these confidentiality agreements and publicly disclose any of our inventions before a patent application is filed covering such inventions. If such confidential information is publicly disclosed, we may not be able to successfully patent it and consequently, we may not be able to prevent third parties from using such inventions.</w:t>
      </w:r>
    </w:p>
    <w:p>
      <w:pPr>
        <w:spacing w:after="0" w:line="111"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If the scope of the patent protection we obtain is not sufficiently broad, we may not be able to prevent others from developing and commercializing technology and products similar or identical to ours.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patents have, or that any of our pending owned patent applications that mature into issued patents will include claims with a scope sufficient to protect our proprietary genome editing systems or otherwise provide any competitive advantage. Other parties have developed or may develop technologies that may be related or competitive with our approach, and may have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filed or may file patent applications and may have been issued or may be issued patents with claims that overlap or conflict with our patent portfolio, either by claiming the same compounds, formulations or methods or by claiming subject matter that could dominate our patent position.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genome editing systems, patents protecting such genome editing systems might expire before or shortly after such genome editing systems are commercialized. As a result, our patent portfolio may not provide us with adequate and continuing patent protection sufficient to exclude others from commercializing products similar or identical to ours.</w:t>
      </w:r>
    </w:p>
    <w:p>
      <w:pPr>
        <w:spacing w:after="0" w:line="116"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Even if they are unchallenged, our owned patents and pending patent applications, if issued, may not provide us with any meaningful protection or prevent competitors from designing around our patent claims to circumvent our patent portfolio by developing similar or alternative genome editing systems in a non-infringing manner. For example, a third party may develop a genome editing system that provides benefits similar to our genome editing systems but falls outside the scope of our patent protection or license rights. If the patent protection provided by the patent and patent applications we hold or pursue with respect to our genome editing systems is not sufficiently broad to impede such competition, our ability to successfully commercialize our product genome editing systems could be negatively affected, which would harm our business.</w:t>
      </w:r>
    </w:p>
    <w:p>
      <w:pPr>
        <w:spacing w:after="0" w:line="117"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color w:val="auto"/>
        </w:rPr>
        <w:t>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p>
    <w:p>
      <w:pPr>
        <w:spacing w:after="0" w:line="8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It is possible that defects of form in the preparation or filing of our patent portfolio may exist, or may arise in the future, for example with respect to proper priority claims, inventorship, claim scope, or requests for patent term adjustments. If we or our partners, collaborators, or licensees whether current or future, fail to establish, maintain or protect such patents and other intellectual property rights, such rights may be reduced or eliminated. If our partners, collaborators, or licensees are not fully cooperative or disagree with us as to the prosecution, maintenance or enforcement of any patent rights, such patent rights could be compromised. If there are material defects in the form, preparation, prosecution, or enforcement of our patent portfolio, such patents may be invalid and/or unenforceable, and such applications may never result in valid, enforceable patents. Periodic maintenance fees, renewal fees, annuity fees and various other government fees on patents and/or applications will be due to be paid to the U.S. Patent and Trademark Office (“USPTO”) and various government patent agencies outside of the United States over the lifetime of our owned or licensed patents and patent applications. We rely on our outside counsel or our licensing partners to pay these fees due to U.S. and non-U.S. patent agencies. The USPTO and various non-U.S. government patent agencies require compliance with several procedural, documentary, fee payment and other similar provisions during the patent application process. Any of these outcomes could impair our ability to prevent competition from third parties, which may have an adverse impact on our business.</w:t>
      </w:r>
    </w:p>
    <w:p>
      <w:pPr>
        <w:spacing w:after="0" w:line="113"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The patent position of biotechnology and pharmaceutical companies carries uncertainty. In addition, the determination of patent rights with respect to genome editing technologies commonly involves complex legal and factual questions, which are dependent upon the current legal and intellectual property context, extant legal precedent and interpretations of the law by individuals. As a result, the issuance, scope, validity, enforceability and commercial value of our patent rights are characterized by uncertainty.</w:t>
      </w:r>
    </w:p>
    <w:p>
      <w:pPr>
        <w:spacing w:after="0" w:line="106"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a patent issues from such applications. Assuming the other requirements for</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not published until 18 months after filing, or in some cases not at all. Therefore, we cannot be certain that we were the first to make the inventions claimed in our patent portfolio, or that we were the first to file for patent protection of such inventions. If third parties have filed prior patent applications on inventions claimed in our patent portfolio that were filed on or before March 15, 2013, an interference proceeding in the United States can be initiated by such third parties to determine who was the first to invent any of the subject matter covered by our patent portfolio. If third parties have filed such prior applications after March 15, 2013, a derivation proceeding in the United States can be initiated by such third parties to determine whether our invention was derived from theirs.</w:t>
      </w:r>
    </w:p>
    <w:p>
      <w:pPr>
        <w:spacing w:after="0" w:line="116"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Moreover, because the issuance of a patent is not conclusive as to its inventorship, scope, validity or enforceability, our patents may be challenged in the courts or patent offices in the United States and abroad. There is no assurance that all the potentially relevant prior art relating to our patent portfolio has been found.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 portfolio, or that we were the first to file for patent protection of such inventions. If such prior art exists, it may be used to invalidate a patent, or may prevent a patent from issuing from a pending patent application. For example, such patent filings may be subject to a third-party submission of prior art to the USPTO, or to other patent offices around the world. Alternately or additionally, we may become involved in post-grant review procedures, oppositions, derivation proceedings, ex parte reexaminations, inter partes review, supplemental examinations, or interference proceedings or challenges before the USPTO or in district court in the United States, or similar proceedings in various foreign jurisdictions, including both national and regional, challenging patents or patent applications in which we have rights, including patents on which we rely to protect our business. An adverse determination in any such challenges may result in loss of the patent or claims in the patent portfolio being narrowed, invalidated or held unenforceable, in whole or in part, or in denial of the patent application or loss or reduction in the scope of one or more claims of the patent portfolio, any of which could limit our ability to stop others from using or commercializing similar or identical technology and products, or limit the duration of the patent protection of our technology and products.</w:t>
      </w:r>
    </w:p>
    <w:p>
      <w:pPr>
        <w:spacing w:after="0" w:line="118"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Pending and future patent applications may not result in patents being issued that protect our business, in whole or in part, or which effectively prevent others from commercializing competitive products. Competitors may also be able to design around our patents.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jurisdiction covering significant commercial markets, such as the European Patent Office, China, and Japan, restrict the patentability of methods of treatment of the human body more than United States law does. If these developments were to occur, they could have a material adverse effect on our ability to generate revenue.</w:t>
      </w:r>
    </w:p>
    <w:p>
      <w:pPr>
        <w:spacing w:after="0" w:line="99"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future development partners will be successful in protecting our genome editing systems by obtaining and defending patents. These risks and uncertainties include the following:</w:t>
      </w:r>
    </w:p>
    <w:p>
      <w:pPr>
        <w:spacing w:after="0" w:line="101" w:lineRule="exact"/>
        <w:rPr>
          <w:sz w:val="20"/>
          <w:szCs w:val="20"/>
          <w:color w:val="auto"/>
        </w:rPr>
      </w:pPr>
    </w:p>
    <w:p>
      <w:pPr>
        <w:ind w:left="340" w:right="160" w:hanging="224"/>
        <w:spacing w:after="0" w:line="253"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There are situations in which noncompliance, whether intentional or not, can result in abandonment or lapse of a patent or patent</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5"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right="140"/>
        <w:spacing w:after="0" w:line="271" w:lineRule="auto"/>
        <w:rPr>
          <w:sz w:val="20"/>
          <w:szCs w:val="20"/>
          <w:color w:val="auto"/>
        </w:rPr>
      </w:pPr>
      <w:r>
        <w:rPr>
          <w:rFonts w:ascii="Arial" w:cs="Arial" w:eastAsia="Arial" w:hAnsi="Arial"/>
          <w:sz w:val="18"/>
          <w:szCs w:val="18"/>
          <w:color w:val="auto"/>
        </w:rPr>
        <w:t>application, resulting in partial or complete loss of patent rights in the relevant jurisdiction. In such an event, competitors might be able to enter the market earlier than would otherwise have been the case;</w:t>
      </w:r>
    </w:p>
    <w:p>
      <w:pPr>
        <w:spacing w:after="0" w:line="86" w:lineRule="exact"/>
        <w:rPr>
          <w:sz w:val="20"/>
          <w:szCs w:val="20"/>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44" w:lineRule="exact"/>
        <w:rPr>
          <w:rFonts w:ascii="Arial" w:cs="Arial" w:eastAsia="Arial" w:hAnsi="Arial"/>
          <w:sz w:val="18"/>
          <w:szCs w:val="18"/>
          <w:color w:val="auto"/>
        </w:rPr>
      </w:pPr>
    </w:p>
    <w:p>
      <w:pPr>
        <w:ind w:left="340" w:right="60" w:hanging="224"/>
        <w:spacing w:after="0" w:line="271"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Company-owned or in-licensed patents that have been issued or may be issued in the future may be challenged, invalidated, modified, revoked, circumvented, found to be unenforceable or otherwise may not provide any competitive advantage;</w:t>
      </w:r>
    </w:p>
    <w:p>
      <w:pPr>
        <w:spacing w:after="0" w:line="86" w:lineRule="exact"/>
        <w:rPr>
          <w:rFonts w:ascii="Arial" w:cs="Arial" w:eastAsia="Arial" w:hAnsi="Arial"/>
          <w:sz w:val="18"/>
          <w:szCs w:val="18"/>
          <w:color w:val="auto"/>
        </w:rPr>
      </w:pPr>
    </w:p>
    <w:p>
      <w:pPr>
        <w:ind w:left="340" w:right="260" w:hanging="224"/>
        <w:spacing w:after="0" w:line="253"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and many of whom have made significant investments in competing technologies, may seek or may have already obtained patents that will limit, interfere with or eliminate our ability to make, use, and sell our genome editing systems;</w:t>
      </w:r>
    </w:p>
    <w:p>
      <w:pPr>
        <w:spacing w:after="0" w:line="101" w:lineRule="exact"/>
        <w:rPr>
          <w:rFonts w:ascii="Arial" w:cs="Arial" w:eastAsia="Arial" w:hAnsi="Arial"/>
          <w:sz w:val="18"/>
          <w:szCs w:val="18"/>
          <w:color w:val="auto"/>
        </w:rPr>
      </w:pPr>
    </w:p>
    <w:p>
      <w:pPr>
        <w:jc w:val="both"/>
        <w:ind w:left="340" w:right="20" w:hanging="224"/>
        <w:spacing w:after="0" w:line="253"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101" w:lineRule="exact"/>
        <w:rPr>
          <w:rFonts w:ascii="Arial" w:cs="Arial" w:eastAsia="Arial" w:hAnsi="Arial"/>
          <w:sz w:val="18"/>
          <w:szCs w:val="18"/>
          <w:color w:val="auto"/>
        </w:rPr>
      </w:pPr>
    </w:p>
    <w:p>
      <w:pPr>
        <w:ind w:left="340" w:right="340" w:hanging="224"/>
        <w:spacing w:after="0" w:line="271"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products; and</w:t>
      </w:r>
    </w:p>
    <w:p>
      <w:pPr>
        <w:spacing w:after="0" w:line="86" w:lineRule="exact"/>
        <w:rPr>
          <w:rFonts w:ascii="Arial" w:cs="Arial" w:eastAsia="Arial" w:hAnsi="Arial"/>
          <w:sz w:val="18"/>
          <w:szCs w:val="18"/>
          <w:color w:val="auto"/>
        </w:rPr>
      </w:pPr>
    </w:p>
    <w:p>
      <w:pPr>
        <w:ind w:left="340" w:right="460" w:hanging="224"/>
        <w:spacing w:after="0" w:line="271"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countries other than the U.S. may, under certain circumstances, force us to grant a license under our patents to a competitor, thus allowing the competitor to compete with us in that jurisdiction or forcing us to lower the price of our drug in that jurisdiction.</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Issued patents that we have or may obtain or license may not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Our competitors may also seek approval to market their own products similar to or otherwise competitive with our products.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do not infringe our patents. Thus, even if we have valid and enforceable patents, these patents still may not provide protection against competing products or processes sufficient to achieve our business objectives.</w:t>
      </w:r>
    </w:p>
    <w:p>
      <w:pPr>
        <w:spacing w:after="0" w:line="11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We maintain certain information as company trade secrets. This information may relate to inventions that are not patentable or not optimally protected with patents. We use commercially acceptable practices to protect this information, including, for example, limiting access to the information and requiring passwords for our computers. Additionally, we execute confidentiality agreements with any third parties to whom we may provide access to the information and with our employees, consultants, scientific advisors, collaborators, vendors, contractors, and advisors. We cannot provide any assurances that all such agreements have been duly executed, and third parties may still obtain this information or may come upon this or similar information independently. It is possible that technology relevant to our business will be independently developed by a person who is not a party to such a confidentiality or invention assignment agreement. If any of our trade secrets were to be independently developed by a competitor or other third party, we would have no right to prevent such competitor or third party, or those to whom they communicate such independently developed information, from using that information to compete with us. We may not be able to prevent the unauthorized disclosure or use of our technical knowledge or trade secrets by contract manufacturers, consultants, collaborators, vendors, advisors, former employees and current employees. Monitoring unauthorized uses and disclosures is difficult and we do not know whether the steps we have taken to protect our proprietary technologies will be effective. Furthermore, if the parties to our confidentiality agreements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5"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breach or violate the terms of these agreements, we may not have adequate remedies for any such breach or violation, and we could lose our trade secrets as a consequence of such breaches or violations. Our trade secrets could otherwise become known or be independently discovered by our competitors. Additionally, if the steps taken to maintain our trade secrets are deemed inadequate, we may have insufficient recourse against third parties for misappropriating our trade secrets. If any of these events occurs or if we otherwise lose protection for our trade secrets, our business, financial condition, results of operation and prospects may be materially and adversely harmed.</w:t>
      </w:r>
    </w:p>
    <w:p>
      <w:pPr>
        <w:spacing w:after="0" w:line="113" w:lineRule="exact"/>
        <w:rPr>
          <w:sz w:val="20"/>
          <w:szCs w:val="20"/>
          <w:color w:val="auto"/>
        </w:rPr>
      </w:pPr>
    </w:p>
    <w:p>
      <w:pPr>
        <w:ind w:left="120" w:right="200"/>
        <w:spacing w:after="0" w:line="278" w:lineRule="auto"/>
        <w:rPr>
          <w:sz w:val="20"/>
          <w:szCs w:val="20"/>
          <w:color w:val="auto"/>
        </w:rPr>
      </w:pPr>
      <w:r>
        <w:rPr>
          <w:rFonts w:ascii="Arial" w:cs="Arial" w:eastAsia="Arial" w:hAnsi="Arial"/>
          <w:sz w:val="18"/>
          <w:szCs w:val="18"/>
          <w:b w:val="1"/>
          <w:bCs w:val="1"/>
          <w:i w:val="1"/>
          <w:iCs w:val="1"/>
          <w:color w:val="auto"/>
        </w:rPr>
        <w:t>It is difficult and costly to protect our intellectual property and our proprietary technologies, and we may not be able to ensure their protection.</w:t>
      </w:r>
    </w:p>
    <w:p>
      <w:pPr>
        <w:spacing w:after="0" w:line="72"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Our commercial success will depend in part on obtaining and maintaining patent protection and trade secret protection for our proprietary genome editing systems, as well as on successfully defending these patents against potential third-party challenges. Our ability to protect our genome editing systems from unauthorized making, using, selling, offering to sell or importing by third parties is dependent on the extent to which we have rights under valid and enforceable patents that cover these activities.</w:t>
      </w:r>
    </w:p>
    <w:p>
      <w:pPr>
        <w:spacing w:after="0" w:line="93"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The patent positions of pharmaceutical, biotechnology and other life sciences companies can be highly uncertain and involve complex legal and factual questions for which important legal principles remain unresolved and have in recent years been the subject of much litigation. Changes in either the patent laws or in interpretations of patent laws in the United States and other countries may diminish the value of our intellectual property. Over the past decade, U.S. federal courts have increasingly invalidated pharmaceutical and biotechnology patents during litigation often based on changing interpretations of patent law. Further, the determination that a patent application or patent claim meets all the requirements for patentability is a subjective determination based on the application of law and jurisprudence. The ultimate determination by the USPTO or by a court or other trier of fact in the United States, or corresponding foreign national patent offices or courts, on whether a claim meets all requirements of patentability cannot be assured. Although we have conducted searches for third-party publications, patents and other information that may affect the patentability of claims in our patent portfolio, we cannot be certain that all relevant information has been identified. Accordingly, we cannot predict the breadth of claims that may be allowed or enforced in our own patent portfolio.</w:t>
      </w:r>
    </w:p>
    <w:p>
      <w:pPr>
        <w:spacing w:after="0" w:line="118"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We cannot provide assurances that any of our patent applications will be found to be patentable, including over our own prior art publications or patent literature, or will issue as patents. Neither can we make assurances as to the scope of any claims that may issue from our pending and future patent applications nor to the outcome of any proceedings by any potential third parties that could challenge the patentability, validity or enforceability of our patent portfolio in the United States or foreign jurisdictions. Any such challenge, if successful, could limit patent protection for our genome editing systems and/or materially harm our business.</w:t>
      </w:r>
    </w:p>
    <w:p>
      <w:pPr>
        <w:spacing w:after="0" w:line="10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In addition to challenges during litigation, third parties can challenge the validity of our patents in the United States using post-grant review and inter partes review proceedings, which some third parties have been using to cause the cancellation of selected or all claims of issued patents of competitors. For a patent filed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color w:val="auto"/>
        </w:rPr>
        <w:t>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will be successful in defending the patent, which may result in a loss of the challenged patent right to us.</w:t>
      </w:r>
    </w:p>
    <w:p>
      <w:pPr>
        <w:spacing w:after="0" w:line="106"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86" w:lineRule="exact"/>
        <w:rPr>
          <w:sz w:val="20"/>
          <w:szCs w:val="20"/>
          <w:color w:val="auto"/>
        </w:rPr>
      </w:pPr>
    </w:p>
    <w:p>
      <w:pPr>
        <w:ind w:left="340" w:right="80" w:hanging="224"/>
        <w:spacing w:after="0" w:line="271"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not be able to generate sufficient data to support full patent applications that protect the entire breadth of developments in one or more of our programs;</w:t>
      </w:r>
    </w:p>
    <w:p>
      <w:pPr>
        <w:spacing w:after="0" w:line="86" w:lineRule="exact"/>
        <w:rPr>
          <w:rFonts w:ascii="Arial" w:cs="Arial" w:eastAsia="Arial" w:hAnsi="Arial"/>
          <w:sz w:val="18"/>
          <w:szCs w:val="18"/>
          <w:color w:val="auto"/>
        </w:rPr>
      </w:pPr>
    </w:p>
    <w:p>
      <w:pPr>
        <w:ind w:left="340" w:right="20" w:hanging="224"/>
        <w:spacing w:after="0" w:line="253"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is possible that one or more of our pending patent applications will not become an issued patent or, if issued, that the patent(s) claims will have sufficient scope to protect our technology, provide us with commercially viable patent protection or provide us with any competitive advantages;</w:t>
      </w:r>
    </w:p>
    <w:p>
      <w:pPr>
        <w:spacing w:after="0" w:line="101" w:lineRule="exact"/>
        <w:rPr>
          <w:rFonts w:ascii="Arial" w:cs="Arial" w:eastAsia="Arial" w:hAnsi="Arial"/>
          <w:sz w:val="18"/>
          <w:szCs w:val="18"/>
          <w:color w:val="auto"/>
        </w:rPr>
      </w:pPr>
    </w:p>
    <w:p>
      <w:pPr>
        <w:ind w:left="340" w:right="40" w:hanging="224"/>
        <w:spacing w:after="0" w:line="271"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our pending applications issue as patents, they may be challenged by third parties as invalid or unenforceable under United States or foreign laws;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not successfully commercialize our genome editing systems, if approved, before our relevant patents expire;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not be the first to make the inventions covered by our patent portfolio; or</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or genome editing systems that are separately patentable.</w:t>
      </w:r>
    </w:p>
    <w:p>
      <w:pPr>
        <w:spacing w:after="0" w:line="144"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auto"/>
        </w:rPr>
        <w:t>In addition, to the extent that we are unable to obtain and maintain patent protection for our genome editing systems, or in the event that such patent protection expires, it may no longer be cost-effective to extend our portfolio by pursuing additional development of any of our genome editing systems for follow-on indications.</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w:t>
      </w:r>
    </w:p>
    <w:p>
      <w:pPr>
        <w:spacing w:after="0" w:line="142"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The patent term of a U.S. patent may be lengthened by patent term adjustment, which compensates a patentee for administrative delays by the United States Patent and Trademark Office in granting a patent, or may be shortened if a patent is terminally disclaimed over an earlier-filed patent.</w:t>
      </w:r>
    </w:p>
    <w:p>
      <w:pPr>
        <w:spacing w:after="0" w:line="106"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Various extensions may be available, but the life of a patent, and the protection it affords, is limited. Given the amount of time required for the development, testing and regulatory review of new genome editing systems, patents protecting such genome editing systems might expire before or shortly after such genome editing systems are commercialized.</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United States, the Drug Price Competition and Patent Term Restoration Act of 1984 permits a Patent Term Extension (“PTE”) of up to five years beyond the normal expiration of the patent to compensate patent owners for loss of enforceable patent term due to the lengthy regulatory approval process. A PTE grant cannot extend the remaining term of a patent beyond a total of 14 years from the date of the product approval. Further, PTE may only be applied once per product, and only with respect to an approved indication—in other words, only one patent (for example, covering the product itself, an approved use of said product, or a method of manufacturing said product) can be extended by PTE. We anticipate applying for PTE in the United States. Similar extensions may be available in other countries where we are prosecuting patents and we likewise anticipate applying for such extensions.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granting of such patent term extensions is not guaranteed and is subject to numerous requirements. We might not be granted an extension because of, for example, failure to apply within applicable periods, failure to apply prior to the expiration of relevant patents or otherwise failure to satisfy any of the numerous applicable requirements. In addition, to the extent we wish to pursue patent term extension based on a patent that we in-license from a third party, we would need the cooperation of that third party. Moreover,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revenue.</w:t>
      </w:r>
    </w:p>
    <w:p>
      <w:pPr>
        <w:spacing w:after="0" w:line="118" w:lineRule="exact"/>
        <w:rPr>
          <w:sz w:val="20"/>
          <w:szCs w:val="20"/>
          <w:color w:val="auto"/>
        </w:rPr>
      </w:pPr>
    </w:p>
    <w:p>
      <w:pPr>
        <w:ind w:left="120" w:right="360"/>
        <w:spacing w:after="0" w:line="278" w:lineRule="auto"/>
        <w:rPr>
          <w:sz w:val="20"/>
          <w:szCs w:val="20"/>
          <w:color w:val="auto"/>
        </w:rPr>
      </w:pPr>
      <w:r>
        <w:rPr>
          <w:rFonts w:ascii="Arial" w:cs="Arial" w:eastAsia="Arial" w:hAnsi="Arial"/>
          <w:sz w:val="18"/>
          <w:szCs w:val="18"/>
          <w:b w:val="1"/>
          <w:bCs w:val="1"/>
          <w:i w:val="1"/>
          <w:iCs w:val="1"/>
          <w:color w:val="auto"/>
        </w:rPr>
        <w:t>Changes in the interpretation of patent law in the United States and other jurisdictions could diminish the value of patents in general, thereby impairing our ability to protect our products.</w:t>
      </w:r>
    </w:p>
    <w:p>
      <w:pPr>
        <w:spacing w:after="0" w:line="72"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The United States Congress is responsible for passing laws establishing patentability standards. As with any laws, implementation is left to federal agencies and the federal courts based on their interpretations of the laws. Interpretation of patent standards can vary significantly within the USPTO, and across the various federal courts, including the U.S. Supreme Court. Recently, the Supreme Court has ruled on several patent cases, generally limiting the types of inventions that can be patented. Further, there are open questions regarding interpretation of patentability standards that the Supreme Court has yet to decisively address. Absent clear guidance from the Supreme Court, the USPTO has become increasingly conservative in its interpretation of patent laws and standards.</w:t>
      </w:r>
    </w:p>
    <w:p>
      <w:pPr>
        <w:spacing w:after="0" w:line="98"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In addition to increasing uncertainty with regard to our ability to obtain patents in the future, the legal landscape in the U.S. has created uncertainty with respect to the value of patents. Depending on any actions by Congress, and future decisions by the lower federal courts and the U.S. Supreme Court, along with interpretations by the USPTO, the laws and regulations governing patents could change in unpredictable ways and could weaken our ability to obtain new patents or to enforce our existing patents and patents that we might obtain in the future.</w:t>
      </w:r>
    </w:p>
    <w:p>
      <w:pPr>
        <w:spacing w:after="0" w:line="109"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 xml:space="preserve">The U.S. Supreme Court has ruled on several patent cases in recent years; these cases often narrow the scope of patent protection available to inventions in the biotechnology and pharmaceutical spaces. For example, in </w:t>
      </w:r>
      <w:r>
        <w:rPr>
          <w:rFonts w:ascii="Arial" w:cs="Arial" w:eastAsia="Arial" w:hAnsi="Arial"/>
          <w:sz w:val="18"/>
          <w:szCs w:val="18"/>
          <w:i w:val="1"/>
          <w:iCs w:val="1"/>
          <w:color w:val="auto"/>
        </w:rPr>
        <w:t>Association for Molecular Pathology v. Myriad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Genetics, Inc. </w:t>
      </w:r>
      <w:r>
        <w:rPr>
          <w:rFonts w:ascii="Arial" w:cs="Arial" w:eastAsia="Arial" w:hAnsi="Arial"/>
          <w:sz w:val="18"/>
          <w:szCs w:val="18"/>
          <w:color w:val="auto"/>
        </w:rPr>
        <w:t>(“</w:t>
      </w:r>
      <w:r>
        <w:rPr>
          <w:rFonts w:ascii="Arial" w:cs="Arial" w:eastAsia="Arial" w:hAnsi="Arial"/>
          <w:sz w:val="18"/>
          <w:szCs w:val="18"/>
          <w:i w:val="1"/>
          <w:iCs w:val="1"/>
          <w:color w:val="auto"/>
        </w:rPr>
        <w:t>Myriad</w:t>
      </w:r>
      <w:r>
        <w:rPr>
          <w:rFonts w:ascii="Arial" w:cs="Arial" w:eastAsia="Arial" w:hAnsi="Arial"/>
          <w:sz w:val="18"/>
          <w:szCs w:val="18"/>
          <w:color w:val="auto"/>
        </w:rPr>
        <w:t>”), the Supreme Court ruled that a “naturally occurring DNA segment is a product of nature and not patent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merely because it has been isolated,” and invalidated Myriad Genetics’ claims on the isolated BRCA1 and BRCA2 genes. Certain claims of our patent portfolio relate to genome editing systems. While we believe that our proprietary genome editing systems involve significant human intervention, components of the system, such as the isolated nucleases with no modifications, are derived from naturally-occurring products. To the extent that such claims are deemed to be directed to natural products, or to lack an inventive concept above and beyond an isolated natural product, a court may decide the claims are directed to patent-ineligible subject matter and are invalid. The application of </w:t>
      </w:r>
      <w:r>
        <w:rPr>
          <w:rFonts w:ascii="Arial" w:cs="Arial" w:eastAsia="Arial" w:hAnsi="Arial"/>
          <w:sz w:val="18"/>
          <w:szCs w:val="18"/>
          <w:i w:val="1"/>
          <w:iCs w:val="1"/>
          <w:color w:val="auto"/>
        </w:rPr>
        <w:t>Myriad</w:t>
      </w:r>
      <w:r>
        <w:rPr>
          <w:rFonts w:ascii="Arial" w:cs="Arial" w:eastAsia="Arial" w:hAnsi="Arial"/>
          <w:sz w:val="18"/>
          <w:szCs w:val="18"/>
          <w:color w:val="auto"/>
        </w:rPr>
        <w:t xml:space="preserve"> to biotechnology inventions has continued to develop and may continue to change over time. Subsequent rulings in cases or guidance or procedures issued by the USPTO relating to patent eligibility may have a negative impact on our business.</w:t>
      </w:r>
    </w:p>
    <w:p>
      <w:pPr>
        <w:spacing w:after="0" w:line="112"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i w:val="1"/>
          <w:iCs w:val="1"/>
          <w:color w:val="auto"/>
        </w:rPr>
        <w:t>Amgen Inc. v. Sanofi</w:t>
      </w:r>
      <w:r>
        <w:rPr>
          <w:rFonts w:ascii="Arial" w:cs="Arial" w:eastAsia="Arial" w:hAnsi="Arial"/>
          <w:sz w:val="17"/>
          <w:szCs w:val="17"/>
          <w:color w:val="auto"/>
        </w:rPr>
        <w:t xml:space="preserve"> (“</w:t>
      </w:r>
      <w:r>
        <w:rPr>
          <w:rFonts w:ascii="Arial" w:cs="Arial" w:eastAsia="Arial" w:hAnsi="Arial"/>
          <w:sz w:val="17"/>
          <w:szCs w:val="17"/>
          <w:i w:val="1"/>
          <w:iCs w:val="1"/>
          <w:color w:val="auto"/>
        </w:rPr>
        <w:t>Amgen</w:t>
      </w:r>
      <w:r>
        <w:rPr>
          <w:rFonts w:ascii="Arial" w:cs="Arial" w:eastAsia="Arial" w:hAnsi="Arial"/>
          <w:sz w:val="17"/>
          <w:szCs w:val="17"/>
          <w:color w:val="auto"/>
        </w:rPr>
        <w:t>”), the U.S. Supreme Court held that certain of Amgen’s patent claims defined a class of antibodies by their function of binding to a particular antigen. The U.S. Supreme Court further wrote that because the patent claims defined the claimed class of antibodies only by their function of binding to a particular antigen, a skilled artisan would have to use significant trial and error to identify and make all of the molecules in that class. The U.S. Supreme Court ultimately held that Amgen failed to properly enable its patent</w:t>
      </w:r>
    </w:p>
    <w:p>
      <w:pPr>
        <w:spacing w:after="0" w:line="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 xml:space="preserve">claims. Certain claims of our patent portfolio relate to broad classes of gene editors. To the extent that a court finds that the skilled artisan would need significant trial and error to identify all the gene editors in that class, the court may find the claims invalid under </w:t>
      </w:r>
      <w:r>
        <w:rPr>
          <w:rFonts w:ascii="Arial" w:cs="Arial" w:eastAsia="Arial" w:hAnsi="Arial"/>
          <w:sz w:val="18"/>
          <w:szCs w:val="18"/>
          <w:i w:val="1"/>
          <w:iCs w:val="1"/>
          <w:color w:val="auto"/>
        </w:rPr>
        <w:t>Amgen</w:t>
      </w:r>
      <w:r>
        <w:rPr>
          <w:rFonts w:ascii="Arial" w:cs="Arial" w:eastAsia="Arial" w:hAnsi="Arial"/>
          <w:sz w:val="18"/>
          <w:szCs w:val="18"/>
          <w:color w:val="auto"/>
        </w:rPr>
        <w:t>.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09" w:lineRule="exact"/>
        <w:rPr>
          <w:sz w:val="20"/>
          <w:szCs w:val="20"/>
          <w:color w:val="auto"/>
        </w:rPr>
      </w:pPr>
    </w:p>
    <w:p>
      <w:pPr>
        <w:ind w:left="120" w:right="80"/>
        <w:spacing w:after="0" w:line="252" w:lineRule="auto"/>
        <w:rPr>
          <w:sz w:val="20"/>
          <w:szCs w:val="20"/>
          <w:color w:val="auto"/>
        </w:rPr>
      </w:pPr>
      <w:r>
        <w:rPr>
          <w:rFonts w:ascii="Arial" w:cs="Arial" w:eastAsia="Arial" w:hAnsi="Arial"/>
          <w:sz w:val="17"/>
          <w:szCs w:val="17"/>
          <w:color w:val="auto"/>
        </w:rPr>
        <w:t>Further, a new court system recently became operational in the European Union. The Unified Patent Court (“UPC”) began accepting patent cases on June 1, 2023. The UPC is a common patent court with jurisdiction over patent infringement and revocation proceedings effective for multiple member states of the European Union. The broad geographic reach of the UPC could enable third parties to seek revocation of any of our European patents in a single proceeding at the UPC rather than through multiple proceedings in each of the individual European Union member states in which the European patent is validated. Under the UPC, a successful revocation proceeding for a European Patent under the UPC would result in loss of patent protection in those European Union countries. Accordingly, a single proceeding under the UPC could result in the partial or complete loss of patent protection in numerous European Union countries. Such a loss of patent protection could have a material adverse impact on our business and our ability to commercialize our technology and product candidates and, resultantly, on our business, financial condition, prospects and results of operations. Moreover, the controlling laws and regulations of the UPC will develop over time and we cannot predict what the outcomes of cases tried before the UPC will be. The case law of the UPC may adversely affect our ability to enforce or defend the validity of our European patents. Patent owners have the option to opt-out their European Patents from the jurisdiction of the UPC, defaulting to pre-UPC enforcement mechanisms. We have decided to opt out certain European patents and patent applications from the UPC. However, if certain formalities and requirements are not met, our European patents and patent applications could be subject to the jurisdiction of the UPC. We cannot be certain that our European patents and patent applications will avoid falling under the jurisdiction of the UPC, if we decide to opt out of the UPC.</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seek or obtain patent protection throughout the world or enforce such patent protection once obtained.</w:t>
      </w:r>
    </w:p>
    <w:p>
      <w:pPr>
        <w:spacing w:after="0" w:line="129"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Filing, prosecuting, enforcing, and defending patents protecting our genome editing systems in all countries throughout the world would be prohibitively expensive, and our intellectual property rights in some countries outside the United States can be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w:t>
      </w:r>
    </w:p>
    <w:p>
      <w:pPr>
        <w:spacing w:after="0" w:line="9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or from selling or importing products made from our inventions in and into the United States or other jurisdictions.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5"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Proceedings to enforce our patent rights, whether successful or not, could result in substantial costs and divert our efforts and resources from other aspects of our business. Further, such proceedings could put our patents at risk of being invalidated, held unenforceable or interpreted narrowly; put our pending patent applications at risk of not issuing; and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our products, we cannot ensure that we will be able to initiate or maintain similar efforts in all jurisdictions in which we may wish to market our products, if approved. Accordingly, our efforts to protect our intellectual property rights in such countries may be inadequate.</w:t>
      </w:r>
    </w:p>
    <w:p>
      <w:pPr>
        <w:spacing w:after="0" w:line="119" w:lineRule="exact"/>
        <w:rPr>
          <w:sz w:val="20"/>
          <w:szCs w:val="20"/>
          <w:color w:val="auto"/>
        </w:rPr>
      </w:pPr>
    </w:p>
    <w:p>
      <w:pPr>
        <w:ind w:left="120" w:right="120"/>
        <w:spacing w:after="0" w:line="256" w:lineRule="auto"/>
        <w:rPr>
          <w:sz w:val="20"/>
          <w:szCs w:val="20"/>
          <w:color w:val="auto"/>
        </w:rPr>
      </w:pPr>
      <w:r>
        <w:rPr>
          <w:rFonts w:ascii="Arial" w:cs="Arial" w:eastAsia="Arial" w:hAnsi="Arial"/>
          <w:sz w:val="18"/>
          <w:szCs w:val="18"/>
          <w:b w:val="1"/>
          <w:bCs w:val="1"/>
          <w:i w:val="1"/>
          <w:iCs w:val="1"/>
          <w:color w:val="auto"/>
        </w:rPr>
        <w:t>In order to protect our competitive position around our future product candidates, we may become involved in lawsuits to enforce our patents or other intellectual property, which could be expensive, time consuming and unsuccessful and which may result in our patents being found invalid or unenforceable.</w:t>
      </w:r>
    </w:p>
    <w:p>
      <w:pPr>
        <w:spacing w:after="0" w:line="92"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Competitors may seek to commercialize competitive products to our genome editing systems. In order to protect our competitive position, we may become involved in lawsuits asserting infringement of our patents, or misappropriation or other violations of other of our intellectual property rights. Litigation is expensive and time consuming and would likely divert the time and attention of our management and scientific personnel.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0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If we file a patent infringement lawsuit against a perceived infringer, such a lawsuit could provoke the defendant to counterclaim that we infringe their patents and/or that our patents are invalid and/or unenforceable. In patent litigation in the United States, it is commonplace for a defendant to counterclaim alleging invalidity and/or unenforceability. In any patent litigation there is a risk that a court will decide that the asserted patents are invalid or unenforceable, in whole or in part, and that we do not have the right to stop the defendant from using the invention at issue. With respect to a counterclaim of invalidity, we cannot be certain that there is no invalidating prior art of which we and the patent examiner were unaware during prosecution. There is also a risk that, even if the validity of such patents is upheld, the court will construe the patent claims narrowly or decide that we do not have the right to stop the other party from using the invention at issue on the grounds that our patent claims do not cover the invention. If any of our patents are found invalid or unenforceable, or construed narrowly, our ability to stop the other party from launching a competitive product would be materially impaired. Further, such adverse outcomes could limit our ability to assert those patents against future competitors. Loss of patent protection would have a material adverse impact on our business.</w:t>
      </w:r>
    </w:p>
    <w:p>
      <w:pPr>
        <w:spacing w:after="0" w:line="118"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Even if we establish infringement of any of our patents by a competitive product, a court may decide not to grant an injunction against further infringing activity, thus allowing the competitive product to continue to be marketed by the competitor. It is difficult to obtain an injunction in U.S. litigation and a court could decide that the competitor should instead pay us a “reasonable royalty” as determined by the court, and/or other monetary damages. A reasonable royalty or other monetary damages may or may not be an adequate remedy. Loss of exclusivity and/or competition from a related product would have a material adverse impact on our business.</w:t>
      </w:r>
    </w:p>
    <w:p>
      <w:pPr>
        <w:spacing w:after="0" w:line="109"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Litigation often involves significant amounts of public disclosures. Such disclosures could have a materially adverse impact on our competitive position or our stock prices. During any litigation we would be required to produce voluminous records related to our patents and our research and development activities in a process called discovery. The discovery process may result in the disclosure of some of our confidential information. There could also be public announcements of the results of hearings, motions or other interim proceedings or developments. If securities analysts or investors perceive these results to be negative, it could adversely affect the price of our common shares.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Litigation is inherently expensive, and the outcome is often uncertain. Any litigation likely would substantially increase our operating losses and reduce our resources available for development activities. Further,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As a result, we may conclude that even if a competitor is infringing any of our patents,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117"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If in the future, we in-license any patent rights, we may not have the right to file a lawsuit for infringement and may have to rely on a licensor to enforce these rights for us. If we are not able to directly assert our licensed patent rights against infringers or if a licensor does not vigorously prosecute any infringement claims on our behalf, we may have difficulty competing in certain markets where such potential infringers conduct their business, and our commercialization efforts may suffer as a result.</w:t>
      </w:r>
    </w:p>
    <w:p>
      <w:pPr>
        <w:spacing w:after="0" w:line="106"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Concurrently with an infringement litigation, third parties may also be able to challenge the validity of our patents before administrative bodies in the United States or abroad. Such mechanisms include re-examination, post grant review and equivalent proceedings in foreign jurisdictions, e.g., opposition proceedings. Such proceedings could result in revocation or amendment of our patents in such a way that they no longer cover our products, potentially negatively impacting any concurrent litigation.</w:t>
      </w:r>
    </w:p>
    <w:p>
      <w:pPr>
        <w:spacing w:after="0" w:line="95" w:lineRule="exact"/>
        <w:rPr>
          <w:sz w:val="20"/>
          <w:szCs w:val="20"/>
          <w:color w:val="auto"/>
        </w:rPr>
      </w:pPr>
    </w:p>
    <w:p>
      <w:pPr>
        <w:ind w:left="120" w:right="160"/>
        <w:spacing w:after="0" w:line="278" w:lineRule="auto"/>
        <w:rPr>
          <w:sz w:val="20"/>
          <w:szCs w:val="20"/>
          <w:color w:val="auto"/>
        </w:rPr>
      </w:pPr>
      <w:r>
        <w:rPr>
          <w:rFonts w:ascii="Arial" w:cs="Arial" w:eastAsia="Arial" w:hAnsi="Arial"/>
          <w:sz w:val="18"/>
          <w:szCs w:val="18"/>
          <w:b w:val="1"/>
          <w:bCs w:val="1"/>
          <w:i w:val="1"/>
          <w:iCs w:val="1"/>
          <w:color w:val="auto"/>
        </w:rPr>
        <w:t>If we are sued for infringing intellectual property rights of third parties, such litigation could be costly and time consuming and could prevent or delay us from developing or commercializing our genome editing systems.</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commercial success depends, in part, on our ability to develop, manufacture, market and sell our genome editing systems without infringing, misappropriating or otherwise violating the intellectual property and other proprietary rights of third parties. However, our research, development and commercialization activities may be subject to claims that we infringe, misappropriate or otherwise violate patents or other intellectual property rights owned or controlled by third parties. Third parties may have U.S. and non-U.S. issued patents and pending patent applications relating to compounds, methods of manufacturing compounds and/or methods of use for the treatment of the disease indications for which we are developing our genome editing systems. If any third-party patents or patent applications are found to cover our genome editing systems, or their methods of use or manufacture, we may not be free to manufacture or market such genome editing systems as planned without obtaining a license, which may not be available on commercially reasonable terms, or at all.</w:t>
      </w:r>
    </w:p>
    <w:p>
      <w:pPr>
        <w:spacing w:after="0" w:line="11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genome editing systems, including patent infringement lawsuits in the U.S. or abroad. There may be third-party patents or patent applications with claims to materials, formulations, methods of manufacture or methods for treatment related to the composition, use or manufacture of our genome editing systems. Third parties may assert infringement claims against us based on existing patents that they own or in-license or patents that may grant to them (or which they may in-license) in the future, regardless of the merit of such patents or infringement claims. If our defenses to such assertions of infringement were unsuccessful, we could be liable for a court-determined reasonable royalty on our existing sales and further damages to the patent owner (or licensee), such as lost profits. Such royalties and damages could be significant. If we are found to have willfully infringed the claims of a third party’s patent, the third party could be awarded treble damages and attorney’s fees. Further, unless we obtain a license to such patent, we may be precluded from commercializing the infringing genome editing system. Any of the aforementioned could have a material adverse effect on our business, financial condition, results of operations and prospects.</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While we perform periodic searches for relevant patents and patent applications with respect to our genome editing systems, including Cas proteins and therapeutic applications, we cannot guarantee the completeness or thoroughness of any of our patent searches or analyses including, but not limited to, the identification of relevant patents, the scope of patent claims or the expiration of relevant patents, nor can we be certain that we have identified each and every patent and pending application in the United States and abroad that is relevant to or necessary for the commercialization of any of our genome editing systems in any jurisdiction. Because patent applications can take many years to issue, there may be currently pending patent applications which may later result in issued patents that any of our genome editing systems may be accused of infringing. In addition, third parties may obtain patents in the future and claim that use of our technologies infringes upon these patents. Accordingly, third parties may assert infringement claims against us based on intellectual property rights that exist now or arise in the future.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or manufacture. The scope of protection afforded by a patent is subject to interpretation by the courts, and the interpretation is not always uniform. If we were sued for patent infringement, we would need to demonstrate that the relevant product or methods of using the product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parties making claims against us may be able to sustain the costs of complex patent litigation more effectively than we can because they have substantially greater resources, and we may not have sufficient resources to bring these actions to a successful conclusion.</w:t>
      </w:r>
    </w:p>
    <w:p>
      <w:pPr>
        <w:spacing w:after="0" w:line="128"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Numerous third-party U.S. and foreign issued patents and pending patent applications exist in the fields in which we are developing genome editing systems. Our genome editing systems make use of CRISPR-based technology, which is a field that is highly active for patent filings and complex litigation. As of June 2019, it was reported that approximately 2072 patent families worldwide related to CRISPR genome editing inventions and their uses. That number has continued to increase. The extensive patent filings related to CRISPR make it difficult for us to assess the full extent of relevant patents and pending applications that may cover our genome editing systems and their use or manufacture. There may be third-party patents or patent applications with claims to materials, formulations, methods of manufacture or methods for treatment related to the use or manufacture of our genome editing systems. We are aware of multiple patents and patent applications directed to CRISPR technologies, Cas molecules, and their uses in genome editing. For example, we are aware of patent portfolios related to CRISPR/Cas genome editing systems that are owned or co-owned by Sigma Aldrich, Stanford University and Agilent Technologies, the Broad Institute and/or Harvard University and/or the Massachusetts Institute of Technology (“MIT”), and Targetgene Biotechnologies. We are also aware of patent portfolios related to base editing systems that are owned or co-owned by Beam Therapeutics, the Broad Institute and/or Harvard University and/or MIT, the University of California, Duke University, Kobe University, the Max Planck Institute, Wageningen University, and Bioray Laboratories. We are also aware of patent portfolios related to CRISPR associated transposase/retro-transposase (“CAST”) systems that are owned or co-owned by the Broad Institute, Arbor Biotechnologies, and the University of Rochester.</w:t>
      </w:r>
    </w:p>
    <w:p>
      <w:pPr>
        <w:spacing w:after="0" w:line="120" w:lineRule="exact"/>
        <w:rPr>
          <w:sz w:val="20"/>
          <w:szCs w:val="20"/>
          <w:color w:val="auto"/>
        </w:rPr>
      </w:pPr>
    </w:p>
    <w:p>
      <w:pPr>
        <w:jc w:val="both"/>
        <w:ind w:left="120" w:right="80"/>
        <w:spacing w:after="0" w:line="241" w:lineRule="auto"/>
        <w:rPr>
          <w:sz w:val="20"/>
          <w:szCs w:val="20"/>
          <w:color w:val="auto"/>
        </w:rPr>
      </w:pPr>
      <w:r>
        <w:rPr>
          <w:rFonts w:ascii="Arial" w:cs="Arial" w:eastAsia="Arial" w:hAnsi="Arial"/>
          <w:sz w:val="18"/>
          <w:szCs w:val="18"/>
          <w:color w:val="auto"/>
        </w:rPr>
        <w:t>Intellectual property litigation is common in the biotechnology space and multiple parties have engaged in litigation to protect and enforce their CRISPR/Cas related patent estates. For example, patents and patent applications directed to catalytically-active Cas9 systems have been the subject of extensive adversarial patent</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office proceedings. These proceedings include U.S. Patent and Trademark Office Patent Trial and Appeal Board</w:t>
      </w:r>
    </w:p>
    <w:p>
      <w:pPr>
        <w:spacing w:after="0" w:line="12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(“PTAB”) proceedings involving the Broad Institute and the University of California regarding the priority of inventions with respect to certain U.S. patents and patent applications each owns directed to catalytically-active Cas9. Our genome editing technologies do not use catalytically-active Cas9 and we are not aware of any third-party patents or patent applications that we believe cover our Cas-related genome editing system and proprietary technology. However, we may not have identified all relevant third-party patents and patent applications. Therefore, there can be no assurance that third parties will not assert patents against us in the future or that our patents and patent applications will not be challenged. Any litigation brought against us or our patents or patent applications, even if meritless, could have a material adverse effect on our business, financial condition, results of operations and prospects.</w:t>
      </w:r>
    </w:p>
    <w:p>
      <w:pPr>
        <w:spacing w:after="0" w:line="117" w:lineRule="exact"/>
        <w:rPr>
          <w:sz w:val="20"/>
          <w:szCs w:val="20"/>
          <w:color w:val="auto"/>
        </w:rPr>
      </w:pPr>
    </w:p>
    <w:p>
      <w:pPr>
        <w:ind w:left="120"/>
        <w:spacing w:after="0" w:line="251" w:lineRule="auto"/>
        <w:rPr>
          <w:sz w:val="20"/>
          <w:szCs w:val="20"/>
          <w:color w:val="auto"/>
        </w:rPr>
      </w:pPr>
      <w:r>
        <w:rPr>
          <w:rFonts w:ascii="Arial" w:cs="Arial" w:eastAsia="Arial" w:hAnsi="Arial"/>
          <w:sz w:val="17"/>
          <w:szCs w:val="17"/>
          <w:color w:val="auto"/>
        </w:rPr>
        <w:t>If we are found to infringe, misappropriate or otherwise violate a third party’s intellectual property rights, we could be forced, including by court order, to cease developing, manufacturing or commercializing the infringing product. Alternatively, we may be required to obtain a license from such third party in order to use the infringing technology and continue developing, manufacturing or marketing the infringing product. If we were required to obtain a license to continue to manufacture or market the affected product, we may be required to pay substantial royalties or grant cross-licenses to our patents. Even if we were able to obtain a license, it could be nonexclusive, thereby giving our competitors and other third parties access to the same technologies licensed to us. We cannot assure you that any such license will be available on acceptable terms, if at all. Ultimately, we could be prevented from commercializing a product, or be forced to cease some aspect of our business operations as a result of claims of patent infringement or violation of other intellectual property rights, Further, the outcome of intellectual property litigation is subject to uncertainties that cannot be adequately quantified in advance, including the demeanor and credibility of witnesses and the identity of any adverse party. This is especially true in intellectual property cases that may turn on the testimony of experts as to technical facts upon which experts may reasonably disagree. Furthermore,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significant monetary damages, including treble damages and attorneys’ fees if we are found to have willfully infringed a patent. A finding of infringement could prevent us from commercializing a product or force us to cease some of our business operations, which could harm our business. Claims that we have misappropriated the confidential information or trade secrets of third parties could have a similar negative impact on our business.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314" w:lineRule="exact"/>
        <w:rPr>
          <w:sz w:val="20"/>
          <w:szCs w:val="20"/>
          <w:color w:val="auto"/>
        </w:rPr>
      </w:pPr>
    </w:p>
    <w:p>
      <w:pPr>
        <w:ind w:left="120" w:right="100"/>
        <w:spacing w:after="0" w:line="278" w:lineRule="auto"/>
        <w:rPr>
          <w:sz w:val="20"/>
          <w:szCs w:val="20"/>
          <w:color w:val="auto"/>
        </w:rPr>
      </w:pPr>
      <w:r>
        <w:rPr>
          <w:rFonts w:ascii="Arial" w:cs="Arial" w:eastAsia="Arial" w:hAnsi="Arial"/>
          <w:sz w:val="18"/>
          <w:szCs w:val="18"/>
          <w:b w:val="1"/>
          <w:bCs w:val="1"/>
          <w:i w:val="1"/>
          <w:iCs w:val="1"/>
          <w:color w:val="auto"/>
        </w:rPr>
        <w:t>Others may challenge inventorship or claim an ownership interest in our intellectual property which could expose it to litigation and have a significant adverse effect on its prospects.</w:t>
      </w:r>
    </w:p>
    <w:p>
      <w:pPr>
        <w:spacing w:after="0" w:line="58"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Determinations of inventorship can be subjective. While we undertake to accurately identify correct inventorship of inventions made on our behalf by our employees, consultants and contractors, an employee, consultant or contractor may disagree with our determination of inventorship and assert a claim of inventorship. Any disagreement over inventorship could result in our being forced to defend our determination of inventorship in a legal action which could result in substantial costs and be a distraction to our senior management and scientific personnel.</w:t>
      </w:r>
    </w:p>
    <w:p>
      <w:pPr>
        <w:spacing w:after="0" w:line="109" w:lineRule="exact"/>
        <w:rPr>
          <w:sz w:val="20"/>
          <w:szCs w:val="20"/>
          <w:color w:val="auto"/>
        </w:rPr>
      </w:pPr>
    </w:p>
    <w:p>
      <w:pPr>
        <w:ind w:left="120" w:right="720"/>
        <w:spacing w:after="0" w:line="271" w:lineRule="auto"/>
        <w:rPr>
          <w:sz w:val="20"/>
          <w:szCs w:val="20"/>
          <w:color w:val="auto"/>
        </w:rPr>
      </w:pPr>
      <w:r>
        <w:rPr>
          <w:rFonts w:ascii="Arial" w:cs="Arial" w:eastAsia="Arial" w:hAnsi="Arial"/>
          <w:sz w:val="18"/>
          <w:szCs w:val="18"/>
          <w:color w:val="auto"/>
        </w:rPr>
        <w:t>While we typically require employees, consultants and contractors who may develop intellectual property on our behalf to execute agreements assigning such intellectual property to us, we may be unsuccessful in obtaining</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execution of assignment agreements with each party who in fact develops intellectual property that we regard as our own. Moreover, even when we obtain agreements assigning intellectual property to us, the assignment of intellectual property rights may not be self-executing or the assignment agreements may be breached. In either case,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If we are unsuccessful in obtaining assignment agreements from an employee, consultant or contractor who develops intellectual property on our behalf, the employee, consultant or contractor may later claim ownership of the invention. Any disagreement over ownership of intellectual property could result in our losing ownership, or exclusive ownership, of the contested intellectual property, paying monetary damages and/or being enjoined from clinical testing, manufacturing and marketing of the affected product candidate(s). Even if we are successful in prosecuting or defending against such claims, litigation could result in substantial costs and be a distraction to our senior management and scientific personnel.</w:t>
      </w:r>
    </w:p>
    <w:p>
      <w:pPr>
        <w:spacing w:after="0" w:line="117"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72"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Many of our current and former employees and our licensors’ current and former employees, including our senior management, were previously employed at universities or at other biotechnology or pharmaceutical companies, including some which may be competitors or potential competitors. Although we take commercially reasonable steps to ensure that our employees do not use the proprietary information, know-how or trade secrets of others in their work for us, including incorporating such intellectual property into our genome editing systems, we may be subject to claims that we or these employees have misappropriated the intellectual property of a third party.</w:t>
      </w:r>
    </w:p>
    <w:p>
      <w:pPr>
        <w:spacing w:after="0" w:line="95"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If we or any of our employees are accused of misappropriating the proprietary information, know-how or trade secrets of a third party, we may be forced to defend such claims in litigation. If we are found to have misappropriated the intellectual property rights of a third party, we may be forced to pay monetary damages, sustain reputational damage, lose key personnel, or lose valuable intellectual property rights. Further, it may become necessary for us to obtain a license from such third party to commercialize any of our genome editing systems. Such a license may not be available on commercially reasonable terms or at all. Any of the aforementioned could materially affect the commercialization of any of our genome editing systems. Even if we are successful in defending against such claims, litigation could result in substantial costs and be a distraction to management.</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42"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We consider proprietary trade secrets or confidential know-how and unpatented know-how to be important to our business. We may rely on trade secrets or confidential know-how to protect our technology, especially where patent protection is believed by us to be of limited value. We expect to rely on third parties for future manufacturing of our genome editing systems, and any future genome editing systems. We also expect to collaborate with third parties on the development of our genome editing systems and any future genome editing systems. As a result of the aforementioned collaborations, we must, at times, share trade secrets with our collaborators. We also conduct joint research and development programs that may require us to share trade secrets under the terms of our research and development partnerships or similar agreements.</w:t>
      </w:r>
    </w:p>
    <w:p>
      <w:pPr>
        <w:spacing w:after="0" w:line="104"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Trade secrets or confidential know-how can be difficult to maintain as confidential. To protect this type of information against disclosure or appropriation by competitors, our policy is to require our employees, consultants, contractors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and advisors to enter into confidentiality agreements and, if applicable, material transfer agreements, consulting agreements or other similar agreements with us prior to beginning research or disclosing proprietary information. These agreements typically limit the rights of the third parties to use or disclose our confidential information, including our trade secrets. However,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 Enforcing a claim that a third party obtained illegally and is using trade secrets or confidential know-how is expensive, time consuming and unpredictable. The enforceability of confidentiality agreements may vary from jurisdiction to jurisdiction.</w:t>
      </w:r>
    </w:p>
    <w:p>
      <w:pPr>
        <w:spacing w:after="0" w:line="118"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11" w:lineRule="exact"/>
        <w:rPr>
          <w:sz w:val="20"/>
          <w:szCs w:val="20"/>
          <w:color w:val="auto"/>
        </w:rPr>
      </w:pPr>
    </w:p>
    <w:p>
      <w:pPr>
        <w:ind w:left="120" w:right="180"/>
        <w:spacing w:after="0" w:line="278" w:lineRule="auto"/>
        <w:rPr>
          <w:sz w:val="20"/>
          <w:szCs w:val="20"/>
          <w:color w:val="auto"/>
        </w:rPr>
      </w:pPr>
      <w:r>
        <w:rPr>
          <w:rFonts w:ascii="Arial" w:cs="Arial" w:eastAsia="Arial" w:hAnsi="Arial"/>
          <w:sz w:val="18"/>
          <w:szCs w:val="18"/>
          <w:b w:val="1"/>
          <w:bCs w:val="1"/>
          <w:i w:val="1"/>
          <w:iCs w:val="1"/>
          <w:color w:val="auto"/>
        </w:rPr>
        <w:t>We may need to acquire or license additional intellectual property from third parties, and such licenses may not be available or may not be available on commercially reasonable terms.</w:t>
      </w:r>
    </w:p>
    <w:p>
      <w:pPr>
        <w:spacing w:after="0" w:line="58"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of our genome editing systems. It may be necessary for us to use the patented or proprietary technology of one or more third parties to commercialize our current and future product candidates.</w:t>
      </w:r>
    </w:p>
    <w:p>
      <w:pPr>
        <w:spacing w:after="0" w:line="101" w:lineRule="exact"/>
        <w:rPr>
          <w:sz w:val="20"/>
          <w:szCs w:val="20"/>
          <w:color w:val="auto"/>
        </w:rPr>
      </w:pPr>
    </w:p>
    <w:p>
      <w:pPr>
        <w:ind w:left="120" w:right="20"/>
        <w:spacing w:after="0" w:line="259"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a number of more established companies may pursue strategies to license or acquire third-party intellectual property rights that we may consider attractive. These established companies may have a competitive advantage over us due to their size, cash resources and greater clinical development. If we are unable to acquire such intellectual property outright, or obtain licenses to such intellectual property from such third parties when needed or on commercially reasonable terms, our ability to commercialize our genome editing systems, if approved, would likely be delayed or we may have to abandon development of that product genome editing systems or program and our business and financial condition could suffer.</w:t>
      </w:r>
    </w:p>
    <w:p>
      <w:pPr>
        <w:spacing w:after="0" w:line="98"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If we in-license additional genome editing systems in the future, we might become dependent on proprietary rights from third parties with respect to those genome editing systems. Any termination of such licenses could result in the loss of significant rights and would cause material adverse harm to our ability to develop and commercialize any genome editing systems subject to such licenses. Even if we are able to in-license any such necessary intellectual property, it could be on nonexclusive terms, including with respect to the use, field or territory of the licensed intellectual property, thereby giving our competitors and other third parties access to the same intellectual property licensed to us. In-licensing IP rights could require us to make substantial licensing and royalty payments. Patents licensed to us could be put at risk of being invalidated or interpreted narrowly in litigation filed by or against our licensors or another licensee or in administrative proceedings. If any in-licensed patents are invalidated or held unenforceable, we may not be able to prevent competitors or other third parties from developing and commercializing competitive products.</w:t>
      </w:r>
    </w:p>
    <w:p>
      <w:pPr>
        <w:spacing w:after="0" w:line="102"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color w:val="auto"/>
        </w:rPr>
        <w:t>We may not have the right to control the prosecution, maintenance, enforcement or defense of patents and patent applications that we license from third parties. In such cases, we would be reliant on the licensor to take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5"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any necessary actions. We cannot be certain that such licensor would act with our best interests in mind, or in compliance with applicable laws and regulations, or that their actions would result in valid and enforceable patents. For example, it is possible that a licensor’s actions in enforcing and/or defending a patent licensed by use may be less vigorous than had we conducted them ourselves. Any of the foregoing could have a material adverse effect on our business, financial condition, results of operations and prospects.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144" w:lineRule="exact"/>
        <w:rPr>
          <w:sz w:val="20"/>
          <w:szCs w:val="20"/>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financial or other obligations under the license agreement;</w:t>
      </w:r>
    </w:p>
    <w:p>
      <w:pPr>
        <w:spacing w:after="0" w:line="144" w:lineRule="exact"/>
        <w:rPr>
          <w:rFonts w:ascii="Arial" w:cs="Arial" w:eastAsia="Arial" w:hAnsi="Arial"/>
          <w:sz w:val="18"/>
          <w:szCs w:val="18"/>
          <w:color w:val="auto"/>
        </w:rPr>
      </w:pPr>
    </w:p>
    <w:p>
      <w:pPr>
        <w:ind w:left="340" w:right="400" w:hanging="224"/>
        <w:spacing w:after="0" w:line="271"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intellectual property of the licensor that is not subject to the licensing agreement;</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44" w:lineRule="exact"/>
        <w:rPr>
          <w:rFonts w:ascii="Arial" w:cs="Arial" w:eastAsia="Arial" w:hAnsi="Arial"/>
          <w:sz w:val="18"/>
          <w:szCs w:val="18"/>
          <w:color w:val="auto"/>
        </w:rPr>
      </w:pPr>
    </w:p>
    <w:p>
      <w:pPr>
        <w:ind w:left="340" w:right="380" w:hanging="224"/>
        <w:spacing w:after="0" w:line="271"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licensed technology in relation to our development and commercialization of our genome editing systems and what activities satisfy those diligence obligations;</w:t>
      </w:r>
    </w:p>
    <w:p>
      <w:pPr>
        <w:spacing w:after="0" w:line="86" w:lineRule="exact"/>
        <w:rPr>
          <w:rFonts w:ascii="Arial" w:cs="Arial" w:eastAsia="Arial" w:hAnsi="Arial"/>
          <w:sz w:val="18"/>
          <w:szCs w:val="18"/>
          <w:color w:val="auto"/>
        </w:rPr>
      </w:pPr>
    </w:p>
    <w:p>
      <w:pPr>
        <w:ind w:left="340" w:right="260" w:hanging="224"/>
        <w:spacing w:after="0" w:line="271"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44"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genome editing systems.</w:t>
      </w:r>
    </w:p>
    <w:p>
      <w:pPr>
        <w:spacing w:after="0" w:line="73"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The risks described elsewhere pertaining to our intellectual property rights also apply to the intellectual property rights that we may own or in-license now or in the future, and any failure by us or our licensors to obtain, maintain, defend and enforce these rights could have an adverse effect on our business. In some cases we may not have control over the prosecution, maintenance or enforcement of the patents that we license, and may not have sufficient ability to provide input into the patent prosecution, maintenance and defense process with respect to such patents, and potential future licensors may fail to take the steps that we believe are necessary or desirable in order to obtain, maintain, defend and enforce the licensed patents.</w:t>
      </w:r>
    </w:p>
    <w:p>
      <w:pPr>
        <w:spacing w:after="0" w:line="113" w:lineRule="exact"/>
        <w:rPr>
          <w:sz w:val="20"/>
          <w:szCs w:val="20"/>
          <w:color w:val="auto"/>
        </w:rPr>
      </w:pPr>
    </w:p>
    <w:p>
      <w:pPr>
        <w:ind w:left="120" w:right="540"/>
        <w:spacing w:after="0" w:line="27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trademarks of interest and our business may be adversely affected.</w:t>
      </w:r>
    </w:p>
    <w:p>
      <w:pPr>
        <w:spacing w:after="0" w:line="72"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Our trademarks or trade names may be challenged, infringed, circumvented or declared generic or determined to be infringing on other marks. We rely on both registration and common law protection for our trademarks. As a means to enforce our trademark rights and prevent infringement, we may be required to file trademark claims against third parties or initiate trademark opposition proceedings. This can be expensive and time-consuming, particularly for a company of our size.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or trade names. Over the long term, if we are unable to establish name recognition based on our trademarks and trade names, then we may not be able to compete effectively and our business may be adversely affected.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for our products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not infringe the existing rights of third parties and be acceptable to the FDA. If we are unable to establish name recognition based on our trademarks and trade names, we may not be able to compete effectively and our business may be adversely affected.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w:t>
      </w:r>
    </w:p>
    <w:p>
      <w:pPr>
        <w:spacing w:after="0" w:line="142"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3" w:lineRule="exact"/>
        <w:rPr>
          <w:sz w:val="20"/>
          <w:szCs w:val="20"/>
          <w:color w:val="auto"/>
        </w:rPr>
      </w:pPr>
    </w:p>
    <w:p>
      <w:pPr>
        <w:ind w:left="340" w:right="120" w:hanging="224"/>
        <w:spacing w:after="0" w:line="271"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others may be able to make products that are competitive to our genome editing systems or any of our future genome editing systems but that are not covered by the claims of our patent portfolio;</w:t>
      </w:r>
    </w:p>
    <w:p>
      <w:pPr>
        <w:spacing w:after="0" w:line="86" w:lineRule="exact"/>
        <w:rPr>
          <w:rFonts w:ascii="Arial" w:cs="Arial" w:eastAsia="Arial" w:hAnsi="Arial"/>
          <w:sz w:val="18"/>
          <w:szCs w:val="18"/>
          <w:color w:val="auto"/>
        </w:rPr>
      </w:pPr>
    </w:p>
    <w:p>
      <w:pPr>
        <w:ind w:left="340" w:right="40" w:hanging="224"/>
        <w:spacing w:after="0" w:line="271"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otherwise circumvent any of our technologies without infringing our patent portfolio;</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or any of our collaborators might not have been the first to invent the inventions covered by our patent portfolio;</w:t>
      </w:r>
    </w:p>
    <w:p>
      <w:pPr>
        <w:spacing w:after="0" w:line="144" w:lineRule="exact"/>
        <w:rPr>
          <w:rFonts w:ascii="Arial" w:cs="Arial" w:eastAsia="Arial" w:hAnsi="Arial"/>
          <w:sz w:val="18"/>
          <w:szCs w:val="18"/>
          <w:color w:val="auto"/>
        </w:rPr>
      </w:pPr>
    </w:p>
    <w:p>
      <w:pPr>
        <w:ind w:left="340" w:right="820" w:hanging="224"/>
        <w:spacing w:after="0" w:line="271"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or any of our collaborators might not have been the first to file patent applications covering certain of the patents or patent applications that we or they own or have obtained a license, or will own or will have obtained a license;</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file in the future will not lead to issued patents;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others may have access to the same intellectual property rights licensed to us on a non-exclusive basis in the future;</w:t>
      </w:r>
    </w:p>
    <w:p>
      <w:pPr>
        <w:spacing w:after="0" w:line="144" w:lineRule="exact"/>
        <w:rPr>
          <w:rFonts w:ascii="Arial" w:cs="Arial" w:eastAsia="Arial" w:hAnsi="Arial"/>
          <w:sz w:val="18"/>
          <w:szCs w:val="18"/>
          <w:color w:val="auto"/>
        </w:rPr>
      </w:pPr>
    </w:p>
    <w:p>
      <w:pPr>
        <w:ind w:left="340" w:right="20" w:hanging="224"/>
        <w:spacing w:after="0" w:line="271"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issued patents that we own may not provide us with any competitive advantage, or may be held invalid or unenforceable, including as a result of legal challenges by our competitors;</w:t>
      </w:r>
    </w:p>
    <w:p>
      <w:pPr>
        <w:spacing w:after="0" w:line="86" w:lineRule="exact"/>
        <w:rPr>
          <w:rFonts w:ascii="Arial" w:cs="Arial" w:eastAsia="Arial" w:hAnsi="Arial"/>
          <w:sz w:val="18"/>
          <w:szCs w:val="18"/>
          <w:color w:val="auto"/>
        </w:rPr>
      </w:pPr>
    </w:p>
    <w:p>
      <w:pPr>
        <w:ind w:left="340" w:right="380" w:hanging="224"/>
        <w:spacing w:after="0" w:line="253"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ownership of our patent portfolio may be challenged by third parties;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patents of third parties or pending or future applications of third parties, if issued, may have an adverse effect on our business;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right="340" w:hanging="224"/>
        <w:spacing w:after="0" w:line="271"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patent enforcement is expensive and time-consuming and difficult to predict; thus, we may not be able to enforce any of our patents against a competitor; and</w:t>
      </w:r>
    </w:p>
    <w:p>
      <w:pPr>
        <w:spacing w:after="0" w:line="86" w:lineRule="exact"/>
        <w:rPr>
          <w:rFonts w:ascii="Arial" w:cs="Arial" w:eastAsia="Arial" w:hAnsi="Arial"/>
          <w:sz w:val="18"/>
          <w:szCs w:val="18"/>
          <w:color w:val="auto"/>
        </w:rPr>
      </w:pPr>
    </w:p>
    <w:p>
      <w:pPr>
        <w:ind w:left="340" w:right="400" w:hanging="224"/>
        <w:spacing w:after="0" w:line="271"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inventions, instead choosing to rely on trade secret protection, and a third party may subsequently file a patent covering such intellectual property.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the Offering, our Common Stock, and Operating as a Public Company</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will incur immediate and substantial dilution as a result of this offering.</w:t>
      </w:r>
    </w:p>
    <w:p>
      <w:pPr>
        <w:spacing w:after="0" w:line="142" w:lineRule="exact"/>
        <w:rPr>
          <w:sz w:val="20"/>
          <w:szCs w:val="20"/>
          <w:color w:val="auto"/>
        </w:rPr>
      </w:pPr>
    </w:p>
    <w:p>
      <w:pPr>
        <w:ind w:left="120" w:right="40"/>
        <w:spacing w:after="0" w:line="241" w:lineRule="auto"/>
        <w:rPr>
          <w:sz w:val="20"/>
          <w:szCs w:val="20"/>
          <w:color w:val="auto"/>
        </w:rPr>
      </w:pPr>
      <w:r>
        <w:rPr>
          <w:rFonts w:ascii="Arial" w:cs="Arial" w:eastAsia="Arial" w:hAnsi="Arial"/>
          <w:sz w:val="18"/>
          <w:szCs w:val="18"/>
          <w:color w:val="auto"/>
        </w:rPr>
        <w:t>If you purchase common stock in this offering, you will incur immediate and substantial dilution of $ per share, representing the difference between the assumed initial public offering price of $ per share, the estimated midpoint of the price range set forth on the cover page of this prospectus, and our pro forma as adjusted net tangible book value per share as of , 2023 after giving effect to</w:t>
      </w:r>
    </w:p>
    <w:p>
      <w:pPr>
        <w:spacing w:after="0" w:line="2" w:lineRule="exact"/>
        <w:rPr>
          <w:sz w:val="20"/>
          <w:szCs w:val="20"/>
          <w:color w:val="auto"/>
        </w:rPr>
      </w:pPr>
    </w:p>
    <w:p>
      <w:pPr>
        <w:jc w:val="both"/>
        <w:ind w:left="120" w:right="260"/>
        <w:spacing w:after="0" w:line="242" w:lineRule="auto"/>
        <w:rPr>
          <w:sz w:val="20"/>
          <w:szCs w:val="20"/>
          <w:color w:val="auto"/>
        </w:rPr>
      </w:pPr>
      <w:r>
        <w:rPr>
          <w:rFonts w:ascii="Arial" w:cs="Arial" w:eastAsia="Arial" w:hAnsi="Arial"/>
          <w:sz w:val="18"/>
          <w:szCs w:val="18"/>
          <w:color w:val="auto"/>
        </w:rPr>
        <w:t>this offering. To the extent the underwriters exercise their option to purchase additional shares or our restricted common stock issued in the Reorganization vests, you will incur further dilution. For a further description of the dilution you will experience immediately after this offering, see “Dilution.”</w:t>
      </w:r>
    </w:p>
    <w:p>
      <w:pPr>
        <w:spacing w:after="0" w:line="114" w:lineRule="exact"/>
        <w:rPr>
          <w:sz w:val="20"/>
          <w:szCs w:val="20"/>
          <w:color w:val="auto"/>
        </w:rPr>
      </w:pPr>
    </w:p>
    <w:p>
      <w:pPr>
        <w:ind w:left="120" w:right="60"/>
        <w:spacing w:after="0" w:line="278" w:lineRule="auto"/>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 in this offering.</w:t>
      </w:r>
    </w:p>
    <w:p>
      <w:pPr>
        <w:spacing w:after="0" w:line="58"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initial public offering price for our common stock was determined through negotiations with the underwriters. This initial public offering price may vary from the market price of our common stock after the offering. As a result, you may not be able to sell your common stock at or above the initial public offering price. The market price for our common stock may be influenced by those factors discussed in this “Risk Factors” section and many others, some of which may include:</w:t>
      </w:r>
    </w:p>
    <w:p>
      <w:pPr>
        <w:spacing w:after="0" w:line="106" w:lineRule="exact"/>
        <w:rPr>
          <w:sz w:val="20"/>
          <w:szCs w:val="20"/>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 candidates or technologies;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and results of preclinical studies and clinical trials for any product candidates we may develop;</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and research programs;</w:t>
      </w:r>
    </w:p>
    <w:p>
      <w:pPr>
        <w:spacing w:after="0" w:line="144" w:lineRule="exact"/>
        <w:rPr>
          <w:rFonts w:ascii="Arial" w:cs="Arial" w:eastAsia="Arial" w:hAnsi="Arial"/>
          <w:sz w:val="18"/>
          <w:szCs w:val="18"/>
          <w:color w:val="auto"/>
        </w:rPr>
      </w:pPr>
    </w:p>
    <w:p>
      <w:pPr>
        <w:ind w:left="340" w:right="440" w:hanging="224"/>
        <w:spacing w:after="0" w:line="271"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of any preclinical studies, clinical trials or regulatory approvals of product candidates of our competitors, or announcements about new research programs or product candidates of our competitors;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developments or changing views regarding the use of genetic therapies, including those that involve genome editing;</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development and research programs;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340" w:right="560" w:hanging="224"/>
        <w:spacing w:after="0" w:line="271"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clinical development programs or product candidates that we may develop;</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results of our efforts to develop product candidates;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right="140" w:hanging="224"/>
        <w:spacing w:after="0" w:line="271"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 if any, that cover our stock;</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340" w:right="160" w:hanging="224"/>
        <w:spacing w:after="0" w:line="271"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COVID-19, the conflict between Russia and Ukraine, rising interest rates and inflation; and</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44"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In particular, in relation to uncertainty around inflation and the U.S. Federal Reserve’s measures to slow inflation, the stock market has been exceptionally volatile. Market and industry factors may seriously affect the market price of our common stock, regardless of our actual operating performance. These fluctuations may be even more pronounced in the trading market for our stock shortly following this offering.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Securities litigation could result in substantial costs and divert management’s attention and resources from our business.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wide discretion in the use of the net proceeds from this offering and may not use them effectively.</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cannot specify with certainty the particular uses of the net proceeds we will receive from this offering. Our management will have wide discretion in the application of the net proceeds, including for any of the purposes described in “Use of Proceeds.” Accordingly, you will have to rely upon the judgment of our management with respect to the use of the proceeds, with only limited information concerning management’s specific intentions. Our management may spend a portion or all of the net proceeds from this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in a manner that does not produce income or that loses value.</w:t>
      </w:r>
    </w:p>
    <w:p>
      <w:pPr>
        <w:spacing w:after="0" w:line="119" w:lineRule="exact"/>
        <w:rPr>
          <w:sz w:val="20"/>
          <w:szCs w:val="20"/>
          <w:color w:val="auto"/>
        </w:rPr>
      </w:pPr>
    </w:p>
    <w:p>
      <w:pPr>
        <w:ind w:left="120" w:right="480"/>
        <w:spacing w:after="0" w:line="27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58"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The Sarbanes-Oxley Act of 2002 (“SOX”), the Dodd-Frank Wall Street Reform and Consumer Protection Act, the listing requirements of the Nasdaq Global Select Market and other applicable securities rules and regulations impose</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80"/>
          </w:cols>
          <w:pgMar w:left="320" w:top="455"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1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Pursuant to SOX Section 404, we will be required to furnish a report by our management on our internal control over financial reporting beginning with our second filing of an Annual Report on Form 10-K with the SEC after we become a public company.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SOX Section 404. This could result in an adverse reaction in the financial markets due to a loss of confidence in the reliability of our financial statements.</w:t>
      </w:r>
    </w:p>
    <w:p>
      <w:pPr>
        <w:spacing w:after="0" w:line="120" w:lineRule="exact"/>
        <w:rPr>
          <w:sz w:val="20"/>
          <w:szCs w:val="20"/>
          <w:color w:val="auto"/>
        </w:rPr>
      </w:pPr>
    </w:p>
    <w:p>
      <w:pPr>
        <w:ind w:left="120" w:right="20"/>
        <w:spacing w:after="0" w:line="278" w:lineRule="auto"/>
        <w:rPr>
          <w:sz w:val="20"/>
          <w:szCs w:val="20"/>
          <w:color w:val="auto"/>
        </w:rPr>
      </w:pPr>
      <w:r>
        <w:rPr>
          <w:rFonts w:ascii="Arial" w:cs="Arial" w:eastAsia="Arial" w:hAnsi="Arial"/>
          <w:sz w:val="18"/>
          <w:szCs w:val="18"/>
          <w:b w:val="1"/>
          <w:bCs w:val="1"/>
          <w:i w:val="1"/>
          <w:iCs w:val="1"/>
          <w:color w:val="auto"/>
        </w:rPr>
        <w:t>We do not know whether a market will develop for our common stock or what the market price of our common stock will be, and, as a result, it may be difficult for you to sell your shares of our common stock.</w:t>
      </w:r>
    </w:p>
    <w:p>
      <w:pPr>
        <w:spacing w:after="0" w:line="58"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Before this offering, there was no public trading market for our common stock. If a market for our common stock does not develop or is not sustained, it may be difficult for you to sell your shares of common stock at an attractive price or at all.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w:t>
      </w:r>
    </w:p>
    <w:p>
      <w:pPr>
        <w:spacing w:after="0" w:line="108" w:lineRule="exact"/>
        <w:rPr>
          <w:sz w:val="20"/>
          <w:szCs w:val="20"/>
          <w:color w:val="auto"/>
        </w:rPr>
      </w:pPr>
    </w:p>
    <w:p>
      <w:pPr>
        <w:ind w:left="120" w:right="100"/>
        <w:spacing w:after="0" w:line="278"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72"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5"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142"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Our stock price could decline as a result of sales of a large number of shares of our common stock after this offering or the perception that these sales could occur. These sales, or the possibility that these sales may occur, also might make it more difficult for us to sell equity securities in the future at a time and at a price that we deem appropriate.</w:t>
      </w:r>
    </w:p>
    <w:p>
      <w:pPr>
        <w:spacing w:after="0" w:line="101" w:lineRule="exact"/>
        <w:rPr>
          <w:sz w:val="20"/>
          <w:szCs w:val="20"/>
          <w:color w:val="auto"/>
        </w:rPr>
      </w:pPr>
    </w:p>
    <w:p>
      <w:pPr>
        <w:ind w:left="120" w:right="280"/>
        <w:spacing w:after="0" w:line="245" w:lineRule="auto"/>
        <w:rPr>
          <w:sz w:val="20"/>
          <w:szCs w:val="20"/>
          <w:color w:val="auto"/>
        </w:rPr>
      </w:pPr>
      <w:r>
        <w:rPr>
          <w:rFonts w:ascii="Arial" w:cs="Arial" w:eastAsia="Arial" w:hAnsi="Arial"/>
          <w:sz w:val="18"/>
          <w:szCs w:val="18"/>
          <w:color w:val="auto"/>
        </w:rPr>
        <w:t>Upon completion of this offering, shares of our common stock will be outstanding (or shares of common stock will be outstanding assuming exercise in full of the underwriters’ option to purchase additional shares), based on our shares outstanding as</w:t>
      </w:r>
    </w:p>
    <w:p>
      <w:pPr>
        <w:ind w:left="120" w:right="300"/>
        <w:spacing w:after="0" w:line="234" w:lineRule="auto"/>
        <w:rPr>
          <w:sz w:val="20"/>
          <w:szCs w:val="20"/>
          <w:color w:val="auto"/>
        </w:rPr>
      </w:pPr>
      <w:r>
        <w:rPr>
          <w:rFonts w:ascii="Arial" w:cs="Arial" w:eastAsia="Arial" w:hAnsi="Arial"/>
          <w:sz w:val="18"/>
          <w:szCs w:val="18"/>
          <w:color w:val="auto"/>
        </w:rPr>
        <w:t>of , 2023. All shares of common stock expected to be sold in this offering will be freely tradable without restriction or further registration under the Securities Act of 1933, as amended (the “Securities Act”), unless held by our “affiliates,” as that term is defined in</w:t>
      </w:r>
    </w:p>
    <w:p>
      <w:pPr>
        <w:spacing w:after="0" w:line="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Rule 144 under the Securities Act. The resale of the remaining , or approximately % of our outstanding shares after this offering, is currently prohibited or otherwise restricted as a result of securities law provisions, market standoff agreements entered into by our stockholders with us or lock-up agreements entered into by our stockholders with the underwriters. However, subject to applicable securities law restrictions and excluding shares of restricted common stock that will remain unvested, these shares will be able to be sold in the public market beginning 180 days after the date of this prospectus. Shares of unvested restricted common stock that were issued and outstanding as of the date of this prospectus will become available for sale immediately upon the vesting of such shares, as applicable, and the expiration of any applicable market stand-off or lock-up agreements. Shares issued upon the exercise of stock options pursuant to future awards that may be granted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For more information see the section entitled “Shares Eligible for Future Sale” included elsewhere in this prospectus.</w:t>
      </w:r>
    </w:p>
    <w:p>
      <w:pPr>
        <w:spacing w:after="0" w:line="106"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Upon completion of this offering, the holders of approximately shares, or approximately %, of our common stock, will have rights, subject to some conditions, to require us to file registration statements covering the sale of their shares or to include their shares in registration statements that we may file for ourselves or other stockholders. We also intend to register the offer and sale of all shares of common stock that we may issue under our equity compensation plans. Once we register the offer and sale of shares for the holders of registration rights and shares to be issued under our equity incentive plans, they can be freely sold in the public market upon issuance, subject to the lock-up agreements described in the section entitled “Underwriting” included elsewhere in this prospectus.</w:t>
      </w:r>
    </w:p>
    <w:p>
      <w:pPr>
        <w:spacing w:after="0" w:line="111"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litigation settlement, employee arrangements or otherwise. Any such issuance could result in substantial dilution to our existing stockholders and could cause our stock price to decline.</w:t>
      </w:r>
    </w:p>
    <w:p>
      <w:pPr>
        <w:spacing w:after="0" w:line="103"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58"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for a supplement to the auditor’s report providing additional information about the audit and the financial statements, reduced disclosure obligations regarding executive compensation and exemptions from the requirements of holding a nonbinding advisory vote on</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5"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 related information that would be required if we were not an emerging growth company.</w:t>
      </w:r>
    </w:p>
    <w:p>
      <w:pPr>
        <w:spacing w:after="0" w:line="106"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the new or revised accounting standards at the same time that they become applicable to other public companies that are not emerging growth companies. As a result of this election, our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p>
    <w:p>
      <w:pPr>
        <w:spacing w:after="0" w:line="113"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90"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Insiders will continue to have substantial influence over us after this offering, which could limit your ability to affect the outcome of key transactions, including a change of control.</w:t>
      </w:r>
    </w:p>
    <w:p>
      <w:pPr>
        <w:spacing w:after="0" w:line="72"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After this offering, our directors and executive officers and their affiliates will beneficially own shares representing approximately % percent of our outstanding common stock. As a result, these stockholders, if they act together, will be able to influence our management and affairs and all matters requiring stockholder approval. For example, these stockholders may be able to control elections of directors, amendments of our organizational documents or approval of any merger, sale of assets or other major corporate transaction. This concentration of ownership may have the effect of delaying or preventing a change in control of our company and might affect the market price of our common stock.</w:t>
      </w:r>
    </w:p>
    <w:p>
      <w:pPr>
        <w:spacing w:after="0" w:line="113" w:lineRule="exact"/>
        <w:rPr>
          <w:sz w:val="20"/>
          <w:szCs w:val="20"/>
          <w:color w:val="auto"/>
        </w:rPr>
      </w:pPr>
    </w:p>
    <w:p>
      <w:pPr>
        <w:ind w:left="120" w:right="320"/>
        <w:spacing w:after="0" w:line="278" w:lineRule="auto"/>
        <w:rPr>
          <w:sz w:val="20"/>
          <w:szCs w:val="20"/>
          <w:color w:val="auto"/>
        </w:rPr>
      </w:pPr>
      <w:r>
        <w:rPr>
          <w:rFonts w:ascii="Arial" w:cs="Arial" w:eastAsia="Arial" w:hAnsi="Arial"/>
          <w:sz w:val="18"/>
          <w:szCs w:val="18"/>
          <w:b w:val="1"/>
          <w:bCs w:val="1"/>
          <w:i w:val="1"/>
          <w:iCs w:val="1"/>
          <w:color w:val="auto"/>
        </w:rPr>
        <w:t>We do not expect to pay any dividends for the foreseeable future. Investors in this offering may never obtain a return on their investment.</w:t>
      </w:r>
    </w:p>
    <w:p>
      <w:pPr>
        <w:spacing w:after="0" w:line="5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113" w:lineRule="exact"/>
        <w:rPr>
          <w:sz w:val="20"/>
          <w:szCs w:val="20"/>
          <w:color w:val="auto"/>
        </w:rPr>
      </w:pPr>
    </w:p>
    <w:p>
      <w:pPr>
        <w:ind w:left="120" w:right="300"/>
        <w:spacing w:after="0" w:line="278" w:lineRule="auto"/>
        <w:rPr>
          <w:sz w:val="20"/>
          <w:szCs w:val="20"/>
          <w:color w:val="auto"/>
        </w:rPr>
      </w:pPr>
      <w:r>
        <w:rPr>
          <w:rFonts w:ascii="Arial" w:cs="Arial" w:eastAsia="Arial" w:hAnsi="Arial"/>
          <w:sz w:val="18"/>
          <w:szCs w:val="18"/>
          <w:b w:val="1"/>
          <w:bCs w:val="1"/>
          <w:i w:val="1"/>
          <w:iCs w:val="1"/>
          <w:color w:val="auto"/>
        </w:rPr>
        <w:t>If we fail to establish and maintain proper and effective internal control over financial reporting, our operating results and our ability to operate our business could be harmed.</w:t>
      </w:r>
    </w:p>
    <w:p>
      <w:pPr>
        <w:spacing w:after="0" w:line="72"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this offering, we intend to</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begin the process of documenting, reviewing and improving our internal controls and procedures for</w:t>
      </w:r>
    </w:p>
    <w:p>
      <w:pPr>
        <w:spacing w:after="0" w:line="12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compliance with SOX Section 404, which will require annual management assessment of the effectiveness of our internal control over financial reporting starting with our second filing of an Annual Report on Form 10-K.</w:t>
      </w:r>
    </w:p>
    <w:p>
      <w:pPr>
        <w:spacing w:after="0" w:line="86" w:lineRule="exact"/>
        <w:rPr>
          <w:sz w:val="20"/>
          <w:szCs w:val="20"/>
          <w:color w:val="auto"/>
        </w:rPr>
      </w:pPr>
    </w:p>
    <w:p>
      <w:pPr>
        <w:ind w:left="120" w:right="20"/>
        <w:spacing w:after="0" w:line="259" w:lineRule="auto"/>
        <w:rPr>
          <w:sz w:val="20"/>
          <w:szCs w:val="20"/>
          <w:color w:val="auto"/>
        </w:rPr>
      </w:pPr>
      <w:r>
        <w:rPr>
          <w:rFonts w:ascii="Arial" w:cs="Arial" w:eastAsia="Arial" w:hAnsi="Arial"/>
          <w:sz w:val="17"/>
          <w:szCs w:val="17"/>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cause investors to lose confidence in the accuracy and completeness of our financial reports and could cause the market price of our common stock to decline significantly.</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29"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11"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These inherent limitations include the facts that judgments in decision -making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08" w:lineRule="exact"/>
        <w:rPr>
          <w:sz w:val="20"/>
          <w:szCs w:val="20"/>
          <w:color w:val="auto"/>
        </w:rPr>
      </w:pPr>
    </w:p>
    <w:p>
      <w:pPr>
        <w:ind w:left="120" w:right="340"/>
        <w:spacing w:after="0" w:line="256" w:lineRule="auto"/>
        <w:rPr>
          <w:sz w:val="20"/>
          <w:szCs w:val="20"/>
          <w:color w:val="auto"/>
        </w:rPr>
      </w:pPr>
      <w:r>
        <w:rPr>
          <w:rFonts w:ascii="Arial" w:cs="Arial" w:eastAsia="Arial" w:hAnsi="Arial"/>
          <w:sz w:val="18"/>
          <w:szCs w:val="18"/>
          <w:b w:val="1"/>
          <w:bCs w:val="1"/>
          <w:i w:val="1"/>
          <w:iCs w:val="1"/>
          <w:color w:val="auto"/>
        </w:rPr>
        <w:t>Our amended and restated bylaws that will become effective upon the effectiveness of our registration statement designate specific courts as the exclusive forum for certain litigation that may be initiated by our stockholders, which could limit stockholders’ ability to obtain a favorable judicial forum for disputes with us.</w:t>
      </w:r>
    </w:p>
    <w:p>
      <w:pPr>
        <w:spacing w:after="0" w:line="7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Pursuant to our amended and restated bylaws that will become effective upon the effectiveness of our registration statement, unless we consent in writing to the selection of an alternative forum, the Court of Chancery of the State of Delaware is the sole and exclusive forum for any state law claims for (i) any derivative action or proceeding brought on our behalf; (ii) any action asserting a claim of or based on a breach of a fiduciary duty owed by any director, officer or other employee of ours to us or our stockholders; (iii) any action asserting a claim pursuant to any provision of the DGCL, our amended and restated certificate of incorporation or our amended and restated bylaws or as to which the DGCL confers jurisdiction on the Court of Chancery of the State of Delaware; or (iv) any action asserting a claim governed by the internal affairs doctrine (the “Delaware Forum Provision”). The Delaware Forum Provision will not apply to any causes of action arising under the Securities Act or the Securities Exchange Act of 1934, as amended (the “Exchange Act”). Our amended and restated bylaws further provide that unless we consent in writing to the selection of an alternative forum, the federal district courts of the United States shall be the sole and exclusive forum for resolving any complaint asserting a cause of action arising under the Securities Act, the Exchange Act, the respective rules and regulations promulgated thereunder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320" w:top="455" w:right="5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15" w:lineRule="exact"/>
        <w:rPr>
          <w:sz w:val="20"/>
          <w:szCs w:val="20"/>
          <w:color w:val="auto"/>
        </w:rPr>
      </w:pPr>
    </w:p>
    <w:p>
      <w:pPr>
        <w:ind w:left="120" w:right="20"/>
        <w:spacing w:after="0" w:line="249"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that will become effective upon the effectiveness of our registration statement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98"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Our amended and restated certificate of incorporation and amended and restated bylaws that will become effective upon the effectiveness of our registration statement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amended and restated certificate of incorporation, which will become effective immediately prior to the closing of this offering, and amended and restated bylaws, which will become effective upon the effectiveness of the registration statement of which this prospectus is a part, include provisions that:</w:t>
      </w:r>
    </w:p>
    <w:p>
      <w:pPr>
        <w:spacing w:after="0" w:line="111" w:lineRule="exact"/>
        <w:rPr>
          <w:sz w:val="20"/>
          <w:szCs w:val="20"/>
          <w:color w:val="auto"/>
        </w:rPr>
      </w:pPr>
    </w:p>
    <w:p>
      <w:pPr>
        <w:ind w:left="340" w:right="100" w:hanging="224"/>
        <w:spacing w:after="0" w:line="271"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44" w:lineRule="exact"/>
        <w:rPr>
          <w:rFonts w:ascii="Arial" w:cs="Arial" w:eastAsia="Arial" w:hAnsi="Arial"/>
          <w:sz w:val="18"/>
          <w:szCs w:val="18"/>
          <w:color w:val="auto"/>
        </w:rPr>
      </w:pPr>
    </w:p>
    <w:p>
      <w:pPr>
        <w:ind w:left="340" w:right="40" w:hanging="224"/>
        <w:spacing w:after="0" w:line="271"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86" w:lineRule="exact"/>
        <w:rPr>
          <w:rFonts w:ascii="Arial" w:cs="Arial" w:eastAsia="Arial" w:hAnsi="Arial"/>
          <w:sz w:val="18"/>
          <w:szCs w:val="18"/>
          <w:color w:val="auto"/>
        </w:rPr>
      </w:pPr>
    </w:p>
    <w:p>
      <w:pPr>
        <w:ind w:left="340" w:right="440" w:hanging="224"/>
        <w:spacing w:after="0" w:line="271"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expressly authorized our board of directors to make, alter, amend or repeal our amended and restated bylaws; and</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5"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right="160" w:hanging="224"/>
        <w:spacing w:after="0" w:line="271"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amended and restated certificate of incorporation and amended and restated bylaws.</w:t>
      </w:r>
    </w:p>
    <w:p>
      <w:pPr>
        <w:spacing w:after="0" w:line="86" w:lineRule="exact"/>
        <w:rPr>
          <w:sz w:val="20"/>
          <w:szCs w:val="20"/>
          <w:color w:val="auto"/>
        </w:rPr>
      </w:pPr>
    </w:p>
    <w:p>
      <w:pPr>
        <w:jc w:val="both"/>
        <w:ind w:left="120" w:right="460"/>
        <w:spacing w:after="0" w:line="253"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p>
    <w:p>
      <w:pPr>
        <w:spacing w:after="0" w:line="101"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In addition, because we are incorporated in the State of Delaware, we are governed by the provisions of Section 203 of the DGCL,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w:t>
      </w:r>
    </w:p>
    <w:p>
      <w:pPr>
        <w:spacing w:after="0" w:line="93" w:lineRule="exact"/>
        <w:rPr>
          <w:sz w:val="20"/>
          <w:szCs w:val="20"/>
          <w:color w:val="auto"/>
        </w:rPr>
      </w:pPr>
    </w:p>
    <w:p>
      <w:pPr>
        <w:ind w:left="120" w:right="140"/>
        <w:spacing w:after="0" w:line="241"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 w:lineRule="exact"/>
        <w:rPr>
          <w:sz w:val="20"/>
          <w:szCs w:val="20"/>
          <w:color w:val="auto"/>
        </w:rPr>
      </w:pPr>
    </w:p>
    <w:p>
      <w:pPr>
        <w:ind w:left="120" w:right="600"/>
        <w:spacing w:after="0" w:line="260"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87"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was also swept into receivership. The U.S. Department of Treasury, the Federal Reserve Board (the “Federal Reserve”), and the FDIC released a statement that indicated that all depositors of SVB would have access to all of their funds, including funds held in uninsured deposit accounts, after only one business day of closure. The U.S. Department of Treasury, FDIC and Federal Reserve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however, that the U.S. Department of Treasury, FDIC and Federal Reserve will provide access to uninsured funds in the future in the event of the closure of other banks or financial institutions, or that they would do so in a timely fashion.</w:t>
      </w:r>
    </w:p>
    <w:p>
      <w:pPr>
        <w:spacing w:after="0" w:line="115"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At this time, we hold substantially all of our cash on deposit at SVB (which has been assumed by First Citizens) and we have not experienced any adverse impact to our current and projected business operations, financial condition or results of operations as a result of the closure of SVB or any other banks. We plan to diversify our cash deposit holdings between multiple financial institutions. However, uncertainty remains over liquidity concerns in the broader financial services industry, and our business, our business partners, or industry as a whole may be adversely impacted in ways that we cannot predict at this time. If, for example, other banks and financial institutions enter receivership or become insolvent in the future in response to financial conditions affecting the banking system and financial markets, our ability to access our existing cash, cash equivalents and available-for-sale marketable securities may be threatened.</w:t>
      </w:r>
    </w:p>
    <w:p>
      <w:pPr>
        <w:spacing w:after="0" w:line="104"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Although we expect to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and in turn, us.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13"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In addition, one or more of our critical vendors, third party manufacturers, or other business partners could be adversely affected by any of the liquidity or other risks that are described above, which in turn, could have a material adverse effect on our current and/or projected business operations and results of operations and financial condition. Any business partner bankruptcy or insolvency, or any breach or default by a business partner, or the loss of any significant supplier relationships, could result in material adverse impacts on our current and/or projected business operations and financial condition.</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5"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SPECIAL NOTE REGARDING FORWARD-LOOKING STATEMENTS</w:t>
      </w:r>
    </w:p>
    <w:p>
      <w:pPr>
        <w:spacing w:after="0" w:line="168" w:lineRule="exact"/>
        <w:rPr>
          <w:sz w:val="20"/>
          <w:szCs w:val="20"/>
          <w:color w:val="auto"/>
        </w:rPr>
      </w:pPr>
    </w:p>
    <w:p>
      <w:pPr>
        <w:ind w:left="120"/>
        <w:spacing w:after="0" w:line="257" w:lineRule="auto"/>
        <w:rPr>
          <w:sz w:val="20"/>
          <w:szCs w:val="20"/>
          <w:color w:val="auto"/>
        </w:rPr>
      </w:pPr>
      <w:r>
        <w:rPr>
          <w:rFonts w:ascii="Arial" w:cs="Arial" w:eastAsia="Arial" w:hAnsi="Arial"/>
          <w:sz w:val="17"/>
          <w:szCs w:val="17"/>
          <w:color w:val="auto"/>
        </w:rPr>
        <w:t>This prospectus, including the sections entitled “Prospectus Summary,” “Risk Factors,” “Management’s Discussion and Analysis of Financial Condition and Results of Operations,” and “Business,”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prospectus include, but are not limited to, statements about:</w:t>
      </w:r>
    </w:p>
    <w:p>
      <w:pPr>
        <w:spacing w:after="0" w:line="101" w:lineRule="exact"/>
        <w:rPr>
          <w:sz w:val="20"/>
          <w:szCs w:val="20"/>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preclinical studies and future clinical trials;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our ability to demonstrate, and the timing of, preclinical proof-of-concept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for multiple programs;</w:t>
      </w:r>
    </w:p>
    <w:p>
      <w:pPr>
        <w:spacing w:after="0" w:line="144" w:lineRule="exact"/>
        <w:rPr>
          <w:rFonts w:ascii="Arial" w:cs="Arial" w:eastAsia="Arial" w:hAnsi="Arial"/>
          <w:sz w:val="18"/>
          <w:szCs w:val="18"/>
          <w:color w:val="auto"/>
        </w:rPr>
      </w:pPr>
    </w:p>
    <w:p>
      <w:pPr>
        <w:ind w:left="340" w:right="720" w:hanging="224"/>
        <w:spacing w:after="0" w:line="271"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advance any product candidates that we may identify and successfully complete any clinical studies, including the manufacture of any such product candidates;</w:t>
      </w:r>
    </w:p>
    <w:p>
      <w:pPr>
        <w:spacing w:after="0" w:line="86" w:lineRule="exact"/>
        <w:rPr>
          <w:rFonts w:ascii="Arial" w:cs="Arial" w:eastAsia="Arial" w:hAnsi="Arial"/>
          <w:sz w:val="18"/>
          <w:szCs w:val="18"/>
          <w:color w:val="auto"/>
        </w:rPr>
      </w:pPr>
    </w:p>
    <w:p>
      <w:pPr>
        <w:ind w:left="340" w:right="280" w:hanging="224"/>
        <w:spacing w:after="0" w:line="271"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quickly leverage programs within our initial target indications and to progress additional programs to further develop our pipeline;</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timing of our IND applications submissions;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programs and technology;</w:t>
      </w:r>
    </w:p>
    <w:p>
      <w:pPr>
        <w:spacing w:after="0" w:line="144"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genome editing technology and platform;</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developments related to our competitors and our industry;</w:t>
      </w:r>
    </w:p>
    <w:p>
      <w:pPr>
        <w:spacing w:after="0" w:line="144" w:lineRule="exact"/>
        <w:rPr>
          <w:rFonts w:ascii="Arial" w:cs="Arial" w:eastAsia="Arial" w:hAnsi="Arial"/>
          <w:sz w:val="18"/>
          <w:szCs w:val="18"/>
          <w:color w:val="auto"/>
        </w:rPr>
      </w:pPr>
    </w:p>
    <w:p>
      <w:pPr>
        <w:ind w:left="340" w:right="260" w:hanging="224"/>
        <w:spacing w:after="0" w:line="271"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leverage the clinical, regulatory, and manufacturing advancements made by genome editing programs to accelerate our clinical trials and approval of product candidates;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identify and enter into future license agreements and collaborations;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developments related to our genome editing technology and platform;</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attract and retain key scientific and management personnel;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use of proceeds from this offering, estimates of our expenses, capital requirements, and needs for additional financing.</w:t>
      </w:r>
    </w:p>
    <w:p>
      <w:pPr>
        <w:spacing w:after="0" w:line="144"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prospectus. If one or more of</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with the SEC as exhibits to the registration statement, of which this prospectus forms a part, completely and with the understanding that our actual future results may be materially different from any future results expressed or implied by these forward-looking statements.</w:t>
      </w:r>
    </w:p>
    <w:p>
      <w:pPr>
        <w:spacing w:after="0" w:line="10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06"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This prospectus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entitled “Risk Factors” and elsewhere in this prospectus.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80"/>
          </w:cols>
          <w:pgMar w:left="320" w:top="455"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REORGANIZATION</w:t>
      </w:r>
    </w:p>
    <w:p>
      <w:pPr>
        <w:spacing w:after="0" w:line="168" w:lineRule="exact"/>
        <w:rPr>
          <w:sz w:val="20"/>
          <w:szCs w:val="20"/>
          <w:color w:val="auto"/>
        </w:rPr>
      </w:pPr>
    </w:p>
    <w:p>
      <w:pPr>
        <w:ind w:left="120" w:right="380"/>
        <w:spacing w:after="0" w:line="244" w:lineRule="auto"/>
        <w:rPr>
          <w:sz w:val="20"/>
          <w:szCs w:val="20"/>
          <w:color w:val="auto"/>
        </w:rPr>
      </w:pPr>
      <w:r>
        <w:rPr>
          <w:rFonts w:ascii="Arial" w:cs="Arial" w:eastAsia="Arial" w:hAnsi="Arial"/>
          <w:sz w:val="18"/>
          <w:szCs w:val="18"/>
          <w:color w:val="auto"/>
        </w:rPr>
        <w:t>We intend to engage in a series of transactions pursuant to which Metagenomi Technologies, LLC, the sole stockholder and holding company parent of Metagenomi, Inc., will merge with and into Metagenomi, Inc., and Metagenomi, Inc. will continue to exist as the surviving corporation. Throughout this prospectus, we refer to these transactions and the related transactions enumerated below collectively as the “Reorganization.” To consummate the Reorganization, we will file a certificate of merger and amended and restated certificate of incorporation with the Secretary of State of the State of Delaware. In connection with the Reorganization:</w:t>
      </w:r>
    </w:p>
    <w:p>
      <w:pPr>
        <w:spacing w:after="0" w:line="109"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holders of Metagenomi Technologies, LLC’s outstanding Series A-1 redeemable convertible preferred units (“Series A-1 preferred</w:t>
      </w:r>
    </w:p>
    <w:p>
      <w:pPr>
        <w:spacing w:after="0" w:line="14" w:lineRule="exact"/>
        <w:rPr>
          <w:sz w:val="20"/>
          <w:szCs w:val="20"/>
          <w:color w:val="auto"/>
        </w:rPr>
      </w:pPr>
    </w:p>
    <w:p>
      <w:pPr>
        <w:ind w:left="340"/>
        <w:spacing w:after="0" w:line="242" w:lineRule="auto"/>
        <w:rPr>
          <w:sz w:val="20"/>
          <w:szCs w:val="20"/>
          <w:color w:val="auto"/>
        </w:rPr>
      </w:pPr>
      <w:r>
        <w:rPr>
          <w:rFonts w:ascii="Arial" w:cs="Arial" w:eastAsia="Arial" w:hAnsi="Arial"/>
          <w:sz w:val="18"/>
          <w:szCs w:val="18"/>
          <w:color w:val="auto"/>
        </w:rPr>
        <w:t>units”) will receive share of Series A-1 convertible preferred stock (“Series A-1 preferred stock”) of Metagenomi, Inc. for each Series A-1 preferred unit held immediately prior to the Reorganization, with an aggregate of shares of our Series A-1 preferred stock issued in the Reorganization;</w:t>
      </w:r>
    </w:p>
    <w:p>
      <w:pPr>
        <w:spacing w:after="0" w:line="112"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holders of Metagenomi Technologies, LLC’s outstanding Series A-2 redeemable convertible preferred units (“Series A-2 preferred</w:t>
      </w:r>
    </w:p>
    <w:p>
      <w:pPr>
        <w:sectPr>
          <w:pgSz w:w="11900" w:h="16838" w:orient="portrait"/>
          <w:cols w:equalWidth="0" w:num="1">
            <w:col w:w="11120"/>
          </w:cols>
          <w:pgMar w:left="320" w:top="455" w:right="459" w:bottom="1440" w:gutter="0" w:footer="0" w:header="0"/>
        </w:sectPr>
      </w:pPr>
    </w:p>
    <w:p>
      <w:pPr>
        <w:spacing w:after="0" w:line="32" w:lineRule="exact"/>
        <w:rPr>
          <w:sz w:val="20"/>
          <w:szCs w:val="20"/>
          <w:color w:val="auto"/>
        </w:rPr>
      </w:pPr>
    </w:p>
    <w:p>
      <w:pPr>
        <w:ind w:left="340"/>
        <w:spacing w:after="0" w:line="234" w:lineRule="auto"/>
        <w:rPr>
          <w:sz w:val="20"/>
          <w:szCs w:val="20"/>
          <w:color w:val="auto"/>
        </w:rPr>
      </w:pPr>
      <w:r>
        <w:rPr>
          <w:rFonts w:ascii="Arial" w:cs="Arial" w:eastAsia="Arial" w:hAnsi="Arial"/>
          <w:sz w:val="18"/>
          <w:szCs w:val="18"/>
          <w:color w:val="auto"/>
        </w:rPr>
        <w:t>units”) will receive share of Series A-2 convertible preferred stock (“Series A-2 preferred stock”) of Metagenomi, Inc. for each Series A-2 preferred unit held immediately prior to the Reorganization, with an aggregate of our Series A-2 preferred stock issued in the Reorganization;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shares of</w:t>
      </w:r>
    </w:p>
    <w:p>
      <w:pPr>
        <w:spacing w:after="0" w:line="357" w:lineRule="exact"/>
        <w:rPr>
          <w:sz w:val="20"/>
          <w:szCs w:val="20"/>
          <w:color w:val="auto"/>
        </w:rPr>
      </w:pPr>
    </w:p>
    <w:p>
      <w:pPr>
        <w:sectPr>
          <w:pgSz w:w="11900" w:h="16838" w:orient="portrait"/>
          <w:cols w:equalWidth="0" w:num="2">
            <w:col w:w="9940" w:space="240"/>
            <w:col w:w="940"/>
          </w:cols>
          <w:pgMar w:left="320" w:top="455" w:right="459" w:bottom="1440" w:gutter="0" w:footer="0" w:header="0"/>
          <w:type w:val="continuous"/>
        </w:sect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holders of Metagenomi Technologies, LLC’s outstanding Series A-3 redeemable convertible preferred units (“Series A-3 preferred</w:t>
      </w:r>
    </w:p>
    <w:p>
      <w:pPr>
        <w:sectPr>
          <w:pgSz w:w="11900" w:h="16838" w:orient="portrait"/>
          <w:cols w:equalWidth="0" w:num="1">
            <w:col w:w="11120"/>
          </w:cols>
          <w:pgMar w:left="320" w:top="455" w:right="459" w:bottom="1440" w:gutter="0" w:footer="0" w:header="0"/>
          <w:type w:val="continuous"/>
        </w:sectPr>
      </w:pPr>
    </w:p>
    <w:p>
      <w:pPr>
        <w:spacing w:after="0" w:line="32" w:lineRule="exact"/>
        <w:rPr>
          <w:sz w:val="20"/>
          <w:szCs w:val="20"/>
          <w:color w:val="auto"/>
        </w:rPr>
      </w:pPr>
    </w:p>
    <w:p>
      <w:pPr>
        <w:ind w:left="340"/>
        <w:spacing w:after="0" w:line="234" w:lineRule="auto"/>
        <w:rPr>
          <w:sz w:val="20"/>
          <w:szCs w:val="20"/>
          <w:color w:val="auto"/>
        </w:rPr>
      </w:pPr>
      <w:r>
        <w:rPr>
          <w:rFonts w:ascii="Arial" w:cs="Arial" w:eastAsia="Arial" w:hAnsi="Arial"/>
          <w:sz w:val="18"/>
          <w:szCs w:val="18"/>
          <w:color w:val="auto"/>
        </w:rPr>
        <w:t>units”) will receive share of Series A-3 convertible preferred stock (“Series A-3 preferred stock”) of Metagenomi, Inc. for each Series A-3 preferred unit held immediately prior to the Reorganization, with an aggregate of our Series A-3 preferred stock issued in the Reorganization;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shares of</w:t>
      </w:r>
    </w:p>
    <w:p>
      <w:pPr>
        <w:spacing w:after="0" w:line="357" w:lineRule="exact"/>
        <w:rPr>
          <w:sz w:val="20"/>
          <w:szCs w:val="20"/>
          <w:color w:val="auto"/>
        </w:rPr>
      </w:pPr>
    </w:p>
    <w:p>
      <w:pPr>
        <w:sectPr>
          <w:pgSz w:w="11900" w:h="16838" w:orient="portrait"/>
          <w:cols w:equalWidth="0" w:num="2">
            <w:col w:w="9940" w:space="240"/>
            <w:col w:w="940"/>
          </w:cols>
          <w:pgMar w:left="320" w:top="455" w:right="459" w:bottom="1440" w:gutter="0" w:footer="0" w:header="0"/>
          <w:type w:val="continuous"/>
        </w:sect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holders of Metagenomi Technologies, LLC’s outstanding Series A-4 redeemable convertible preferred units (“Series A-4 preferred</w:t>
      </w:r>
    </w:p>
    <w:p>
      <w:pPr>
        <w:sectPr>
          <w:pgSz w:w="11900" w:h="16838" w:orient="portrait"/>
          <w:cols w:equalWidth="0" w:num="1">
            <w:col w:w="11120"/>
          </w:cols>
          <w:pgMar w:left="320" w:top="455" w:right="459" w:bottom="1440" w:gutter="0" w:footer="0" w:header="0"/>
          <w:type w:val="continuous"/>
        </w:sectPr>
      </w:pPr>
    </w:p>
    <w:p>
      <w:pPr>
        <w:spacing w:after="0" w:line="32" w:lineRule="exact"/>
        <w:rPr>
          <w:sz w:val="20"/>
          <w:szCs w:val="20"/>
          <w:color w:val="auto"/>
        </w:rPr>
      </w:pPr>
    </w:p>
    <w:p>
      <w:pPr>
        <w:ind w:left="340"/>
        <w:spacing w:after="0" w:line="234" w:lineRule="auto"/>
        <w:rPr>
          <w:sz w:val="20"/>
          <w:szCs w:val="20"/>
          <w:color w:val="auto"/>
        </w:rPr>
      </w:pPr>
      <w:r>
        <w:rPr>
          <w:rFonts w:ascii="Arial" w:cs="Arial" w:eastAsia="Arial" w:hAnsi="Arial"/>
          <w:sz w:val="18"/>
          <w:szCs w:val="18"/>
          <w:color w:val="auto"/>
        </w:rPr>
        <w:t>units”) will receive share of Series A-4 convertible preferred stock (“Series A-4 preferred stock”) of Metagenomi, Inc. for each Series A-4 preferred unit held immediately prior to the Reorganization, with an aggregate of our Series A-4 preferred stock issued in the Reorganization;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shares of</w:t>
      </w:r>
    </w:p>
    <w:p>
      <w:pPr>
        <w:spacing w:after="0" w:line="357" w:lineRule="exact"/>
        <w:rPr>
          <w:sz w:val="20"/>
          <w:szCs w:val="20"/>
          <w:color w:val="auto"/>
        </w:rPr>
      </w:pPr>
    </w:p>
    <w:p>
      <w:pPr>
        <w:sectPr>
          <w:pgSz w:w="11900" w:h="16838" w:orient="portrait"/>
          <w:cols w:equalWidth="0" w:num="2">
            <w:col w:w="9940" w:space="240"/>
            <w:col w:w="940"/>
          </w:cols>
          <w:pgMar w:left="320" w:top="455" w:right="459" w:bottom="1440" w:gutter="0" w:footer="0" w:header="0"/>
          <w:type w:val="continuous"/>
        </w:sect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holders of Metagenomi Technologies, LLC’s outstanding Series A-5 redeemable convertible preferred units (“Series A-5 preferred</w:t>
      </w:r>
    </w:p>
    <w:p>
      <w:pPr>
        <w:spacing w:after="0" w:line="14" w:lineRule="exact"/>
        <w:rPr>
          <w:sz w:val="20"/>
          <w:szCs w:val="20"/>
          <w:color w:val="auto"/>
        </w:rPr>
      </w:pPr>
    </w:p>
    <w:p>
      <w:pPr>
        <w:ind w:left="340"/>
        <w:spacing w:after="0" w:line="242" w:lineRule="auto"/>
        <w:rPr>
          <w:sz w:val="20"/>
          <w:szCs w:val="20"/>
          <w:color w:val="auto"/>
        </w:rPr>
      </w:pPr>
      <w:r>
        <w:rPr>
          <w:rFonts w:ascii="Arial" w:cs="Arial" w:eastAsia="Arial" w:hAnsi="Arial"/>
          <w:sz w:val="18"/>
          <w:szCs w:val="18"/>
          <w:color w:val="auto"/>
        </w:rPr>
        <w:t>units”) will receive share of Series A-5 convertible preferred stock (“Series A-5 preferred stock”) of Metagenomi, Inc. for each Series A-5 preferred unit held immediately prior to the Reorganization, with an aggregate of shares of our Series A-5 preferred stock issued in the Reorganization;</w:t>
      </w:r>
    </w:p>
    <w:p>
      <w:pPr>
        <w:spacing w:after="0" w:line="112"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holders of Metagenomi Technologies, LLC’s outstanding Series B redeemable convertible preferred units (“Series B preferred units”)</w:t>
      </w:r>
    </w:p>
    <w:p>
      <w:pPr>
        <w:spacing w:after="0" w:line="14" w:lineRule="exact"/>
        <w:rPr>
          <w:sz w:val="20"/>
          <w:szCs w:val="20"/>
          <w:color w:val="auto"/>
        </w:rPr>
      </w:pPr>
    </w:p>
    <w:p>
      <w:pPr>
        <w:ind w:left="340" w:right="260"/>
        <w:spacing w:after="0" w:line="242" w:lineRule="auto"/>
        <w:rPr>
          <w:sz w:val="20"/>
          <w:szCs w:val="20"/>
          <w:color w:val="auto"/>
        </w:rPr>
      </w:pPr>
      <w:r>
        <w:rPr>
          <w:rFonts w:ascii="Arial" w:cs="Arial" w:eastAsia="Arial" w:hAnsi="Arial"/>
          <w:sz w:val="18"/>
          <w:szCs w:val="18"/>
          <w:color w:val="auto"/>
        </w:rPr>
        <w:t>will receive share of Series B convertible preferred stock (“Series B preferred stock”) of Metagenomi, Inc. for each Series B preferred unit held immediately prior to the Reorganization, with an aggregate of shares of our Series B preferred stock issued in the Reorganization;</w:t>
      </w:r>
    </w:p>
    <w:p>
      <w:pPr>
        <w:spacing w:after="0" w:line="112"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holders of Metagenomi Technologies, LLC’s outstanding Series B-1 redeemable convertible preferred units (“Series B-1 preferred</w:t>
      </w:r>
    </w:p>
    <w:p>
      <w:pPr>
        <w:sectPr>
          <w:pgSz w:w="11900" w:h="16838" w:orient="portrait"/>
          <w:cols w:equalWidth="0" w:num="1">
            <w:col w:w="11120"/>
          </w:cols>
          <w:pgMar w:left="320" w:top="455" w:right="459" w:bottom="1440" w:gutter="0" w:footer="0" w:header="0"/>
          <w:type w:val="continuous"/>
        </w:sectPr>
      </w:pPr>
    </w:p>
    <w:p>
      <w:pPr>
        <w:spacing w:after="0" w:line="32" w:lineRule="exact"/>
        <w:rPr>
          <w:sz w:val="20"/>
          <w:szCs w:val="20"/>
          <w:color w:val="auto"/>
        </w:rPr>
      </w:pPr>
    </w:p>
    <w:p>
      <w:pPr>
        <w:ind w:left="340"/>
        <w:spacing w:after="0" w:line="234" w:lineRule="auto"/>
        <w:rPr>
          <w:sz w:val="20"/>
          <w:szCs w:val="20"/>
          <w:color w:val="auto"/>
        </w:rPr>
      </w:pPr>
      <w:r>
        <w:rPr>
          <w:rFonts w:ascii="Arial" w:cs="Arial" w:eastAsia="Arial" w:hAnsi="Arial"/>
          <w:sz w:val="18"/>
          <w:szCs w:val="18"/>
          <w:color w:val="auto"/>
        </w:rPr>
        <w:t>units”) will receive share of Series B-1 convertible preferred stock (“Series B-1 preferred stock”) of Metagenomi, Inc. for each Series B-1 preferred unit held immediately prior to the Reorganization, with an aggregate of our Series B-1 preferred stock issued in the Reorganization;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shares of</w:t>
      </w:r>
    </w:p>
    <w:p>
      <w:pPr>
        <w:spacing w:after="0" w:line="357" w:lineRule="exact"/>
        <w:rPr>
          <w:sz w:val="20"/>
          <w:szCs w:val="20"/>
          <w:color w:val="auto"/>
        </w:rPr>
      </w:pPr>
    </w:p>
    <w:p>
      <w:pPr>
        <w:sectPr>
          <w:pgSz w:w="11900" w:h="16838" w:orient="portrait"/>
          <w:cols w:equalWidth="0" w:num="2">
            <w:col w:w="9940" w:space="240"/>
            <w:col w:w="940"/>
          </w:cols>
          <w:pgMar w:left="320" w:top="455" w:right="459" w:bottom="1440" w:gutter="0" w:footer="0" w:header="0"/>
          <w:type w:val="continuous"/>
        </w:sectPr>
      </w:pPr>
    </w:p>
    <w:p>
      <w:pPr>
        <w:jc w:val="center"/>
        <w:ind w:right="-11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120"/>
          </w:cols>
          <w:pgMar w:left="320" w:top="455" w:right="45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0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501"/>
        </w:trPr>
        <w:tc>
          <w:tcPr>
            <w:tcW w:w="7340" w:type="dxa"/>
            <w:vAlign w:val="bottom"/>
            <w:gridSpan w:val="3"/>
          </w:tcPr>
          <w:p>
            <w:pPr>
              <w:ind w:left="120"/>
              <w:spacing w:after="0"/>
              <w:rPr>
                <w:sz w:val="20"/>
                <w:szCs w:val="20"/>
                <w:color w:val="auto"/>
              </w:rPr>
            </w:pPr>
            <w:r>
              <w:rPr>
                <w:rFonts w:ascii="Arial" w:cs="Arial" w:eastAsia="Arial" w:hAnsi="Arial"/>
                <w:sz w:val="18"/>
                <w:szCs w:val="18"/>
                <w:color w:val="auto"/>
              </w:rPr>
              <w:t>•  holders of Metagenomi Technologies, LLC’s outstanding common units will receive</w:t>
            </w:r>
          </w:p>
        </w:tc>
        <w:tc>
          <w:tcPr>
            <w:tcW w:w="3700" w:type="dxa"/>
            <w:vAlign w:val="bottom"/>
            <w:gridSpan w:val="2"/>
          </w:tcPr>
          <w:p>
            <w:pPr>
              <w:ind w:left="360"/>
              <w:spacing w:after="0"/>
              <w:rPr>
                <w:sz w:val="20"/>
                <w:szCs w:val="20"/>
                <w:color w:val="auto"/>
              </w:rPr>
            </w:pPr>
            <w:r>
              <w:rPr>
                <w:rFonts w:ascii="Arial" w:cs="Arial" w:eastAsia="Arial" w:hAnsi="Arial"/>
                <w:sz w:val="18"/>
                <w:szCs w:val="18"/>
                <w:color w:val="auto"/>
              </w:rPr>
              <w:t>shares of common stock of Metagenomi,</w:t>
            </w:r>
          </w:p>
        </w:tc>
      </w:tr>
      <w:tr>
        <w:trPr>
          <w:trHeight w:val="203"/>
        </w:trPr>
        <w:tc>
          <w:tcPr>
            <w:tcW w:w="7760" w:type="dxa"/>
            <w:vAlign w:val="bottom"/>
            <w:gridSpan w:val="4"/>
          </w:tcPr>
          <w:p>
            <w:pPr>
              <w:ind w:left="340"/>
              <w:spacing w:after="0" w:line="202" w:lineRule="exact"/>
              <w:rPr>
                <w:sz w:val="20"/>
                <w:szCs w:val="20"/>
                <w:color w:val="auto"/>
              </w:rPr>
            </w:pPr>
            <w:r>
              <w:rPr>
                <w:rFonts w:ascii="Arial" w:cs="Arial" w:eastAsia="Arial" w:hAnsi="Arial"/>
                <w:sz w:val="18"/>
                <w:szCs w:val="18"/>
                <w:color w:val="auto"/>
              </w:rPr>
              <w:t>Inc. for each common unit held immediately prior to the Reorganization, with an aggregate of</w:t>
            </w:r>
          </w:p>
        </w:tc>
        <w:tc>
          <w:tcPr>
            <w:tcW w:w="3280" w:type="dxa"/>
            <w:vAlign w:val="bottom"/>
          </w:tcPr>
          <w:p>
            <w:pPr>
              <w:ind w:left="740"/>
              <w:spacing w:after="0" w:line="202" w:lineRule="exact"/>
              <w:rPr>
                <w:sz w:val="20"/>
                <w:szCs w:val="20"/>
                <w:color w:val="auto"/>
              </w:rPr>
            </w:pPr>
            <w:r>
              <w:rPr>
                <w:rFonts w:ascii="Arial" w:cs="Arial" w:eastAsia="Arial" w:hAnsi="Arial"/>
                <w:sz w:val="18"/>
                <w:szCs w:val="18"/>
                <w:color w:val="auto"/>
              </w:rPr>
              <w:t>shares of our common stock</w:t>
            </w:r>
          </w:p>
        </w:tc>
      </w:tr>
      <w:tr>
        <w:trPr>
          <w:trHeight w:val="239"/>
        </w:trPr>
        <w:tc>
          <w:tcPr>
            <w:tcW w:w="2380" w:type="dxa"/>
            <w:vAlign w:val="bottom"/>
            <w:gridSpan w:val="2"/>
          </w:tcPr>
          <w:p>
            <w:pPr>
              <w:ind w:left="340"/>
              <w:spacing w:after="0"/>
              <w:rPr>
                <w:sz w:val="20"/>
                <w:szCs w:val="20"/>
                <w:color w:val="auto"/>
              </w:rPr>
            </w:pPr>
            <w:r>
              <w:rPr>
                <w:rFonts w:ascii="Arial" w:cs="Arial" w:eastAsia="Arial" w:hAnsi="Arial"/>
                <w:sz w:val="18"/>
                <w:szCs w:val="18"/>
                <w:color w:val="auto"/>
              </w:rPr>
              <w:t>(which includes</w:t>
            </w:r>
          </w:p>
        </w:tc>
        <w:tc>
          <w:tcPr>
            <w:tcW w:w="8660" w:type="dxa"/>
            <w:vAlign w:val="bottom"/>
            <w:gridSpan w:val="3"/>
          </w:tcPr>
          <w:p>
            <w:pPr>
              <w:ind w:left="240"/>
              <w:spacing w:after="0"/>
              <w:rPr>
                <w:sz w:val="20"/>
                <w:szCs w:val="20"/>
                <w:color w:val="auto"/>
              </w:rPr>
            </w:pPr>
            <w:r>
              <w:rPr>
                <w:rFonts w:ascii="Arial" w:cs="Arial" w:eastAsia="Arial" w:hAnsi="Arial"/>
                <w:sz w:val="18"/>
                <w:szCs w:val="18"/>
                <w:color w:val="auto"/>
              </w:rPr>
              <w:t>shares of unvested restricted common stock) issued in the Reorganization; and</w:t>
            </w:r>
          </w:p>
        </w:tc>
      </w:tr>
      <w:tr>
        <w:trPr>
          <w:trHeight w:val="315"/>
        </w:trPr>
        <w:tc>
          <w:tcPr>
            <w:tcW w:w="7340" w:type="dxa"/>
            <w:vAlign w:val="bottom"/>
            <w:gridSpan w:val="3"/>
          </w:tcPr>
          <w:p>
            <w:pPr>
              <w:ind w:left="120"/>
              <w:spacing w:after="0"/>
              <w:rPr>
                <w:sz w:val="20"/>
                <w:szCs w:val="20"/>
                <w:color w:val="auto"/>
              </w:rPr>
            </w:pPr>
            <w:r>
              <w:rPr>
                <w:rFonts w:ascii="Arial" w:cs="Arial" w:eastAsia="Arial" w:hAnsi="Arial"/>
                <w:sz w:val="18"/>
                <w:szCs w:val="18"/>
                <w:color w:val="auto"/>
              </w:rPr>
              <w:t>•  holders of Metagenomi Technologies, LLC’s outstanding profits interests will receive</w:t>
            </w:r>
          </w:p>
        </w:tc>
        <w:tc>
          <w:tcPr>
            <w:tcW w:w="420" w:type="dxa"/>
            <w:vAlign w:val="bottom"/>
          </w:tcPr>
          <w:p>
            <w:pPr>
              <w:spacing w:after="0"/>
              <w:rPr>
                <w:sz w:val="24"/>
                <w:szCs w:val="24"/>
                <w:color w:val="auto"/>
              </w:rPr>
            </w:pPr>
          </w:p>
        </w:tc>
        <w:tc>
          <w:tcPr>
            <w:tcW w:w="3280" w:type="dxa"/>
            <w:vAlign w:val="bottom"/>
          </w:tcPr>
          <w:p>
            <w:pPr>
              <w:ind w:left="40"/>
              <w:spacing w:after="0"/>
              <w:rPr>
                <w:sz w:val="20"/>
                <w:szCs w:val="20"/>
                <w:color w:val="auto"/>
              </w:rPr>
            </w:pPr>
            <w:r>
              <w:rPr>
                <w:rFonts w:ascii="Arial" w:cs="Arial" w:eastAsia="Arial" w:hAnsi="Arial"/>
                <w:sz w:val="18"/>
                <w:szCs w:val="18"/>
                <w:color w:val="auto"/>
                <w:w w:val="99"/>
              </w:rPr>
              <w:t>shares of common stock of Metagenomi,</w:t>
            </w:r>
          </w:p>
        </w:tc>
      </w:tr>
      <w:tr>
        <w:trPr>
          <w:trHeight w:val="203"/>
        </w:trPr>
        <w:tc>
          <w:tcPr>
            <w:tcW w:w="7760" w:type="dxa"/>
            <w:vAlign w:val="bottom"/>
            <w:gridSpan w:val="4"/>
          </w:tcPr>
          <w:p>
            <w:pPr>
              <w:ind w:left="340"/>
              <w:spacing w:after="0" w:line="202" w:lineRule="exact"/>
              <w:rPr>
                <w:sz w:val="20"/>
                <w:szCs w:val="20"/>
                <w:color w:val="auto"/>
              </w:rPr>
            </w:pPr>
            <w:r>
              <w:rPr>
                <w:rFonts w:ascii="Arial" w:cs="Arial" w:eastAsia="Arial" w:hAnsi="Arial"/>
                <w:sz w:val="18"/>
                <w:szCs w:val="18"/>
                <w:color w:val="auto"/>
              </w:rPr>
              <w:t>Inc. for each profit interest held immediately prior to the Reorganization, with an aggregate of</w:t>
            </w:r>
          </w:p>
        </w:tc>
        <w:tc>
          <w:tcPr>
            <w:tcW w:w="3280" w:type="dxa"/>
            <w:vAlign w:val="bottom"/>
          </w:tcPr>
          <w:p>
            <w:pPr>
              <w:ind w:left="760"/>
              <w:spacing w:after="0" w:line="202" w:lineRule="exact"/>
              <w:rPr>
                <w:sz w:val="20"/>
                <w:szCs w:val="20"/>
                <w:color w:val="auto"/>
              </w:rPr>
            </w:pPr>
            <w:r>
              <w:rPr>
                <w:rFonts w:ascii="Arial" w:cs="Arial" w:eastAsia="Arial" w:hAnsi="Arial"/>
                <w:sz w:val="18"/>
                <w:szCs w:val="18"/>
                <w:color w:val="auto"/>
              </w:rPr>
              <w:t>shares of our common stock</w:t>
            </w:r>
          </w:p>
        </w:tc>
      </w:tr>
      <w:tr>
        <w:trPr>
          <w:trHeight w:val="221"/>
        </w:trPr>
        <w:tc>
          <w:tcPr>
            <w:tcW w:w="2380" w:type="dxa"/>
            <w:vAlign w:val="bottom"/>
            <w:gridSpan w:val="2"/>
          </w:tcPr>
          <w:p>
            <w:pPr>
              <w:ind w:left="340"/>
              <w:spacing w:after="0"/>
              <w:rPr>
                <w:sz w:val="20"/>
                <w:szCs w:val="20"/>
                <w:color w:val="auto"/>
              </w:rPr>
            </w:pPr>
            <w:r>
              <w:rPr>
                <w:rFonts w:ascii="Arial" w:cs="Arial" w:eastAsia="Arial" w:hAnsi="Arial"/>
                <w:sz w:val="18"/>
                <w:szCs w:val="18"/>
                <w:color w:val="auto"/>
              </w:rPr>
              <w:t>issued (which includes</w:t>
            </w:r>
          </w:p>
        </w:tc>
        <w:tc>
          <w:tcPr>
            <w:tcW w:w="8660" w:type="dxa"/>
            <w:vAlign w:val="bottom"/>
            <w:gridSpan w:val="3"/>
          </w:tcPr>
          <w:p>
            <w:pPr>
              <w:ind w:left="800"/>
              <w:spacing w:after="0"/>
              <w:rPr>
                <w:sz w:val="20"/>
                <w:szCs w:val="20"/>
                <w:color w:val="auto"/>
              </w:rPr>
            </w:pPr>
            <w:r>
              <w:rPr>
                <w:rFonts w:ascii="Arial" w:cs="Arial" w:eastAsia="Arial" w:hAnsi="Arial"/>
                <w:sz w:val="18"/>
                <w:szCs w:val="18"/>
                <w:color w:val="auto"/>
              </w:rPr>
              <w:t>shares of unvested restricted common stock) in the Reorganization. Vesting terms of outstanding</w:t>
            </w:r>
          </w:p>
        </w:tc>
      </w:tr>
    </w:tbl>
    <w:p>
      <w:pPr>
        <w:ind w:left="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profits interests will not change.</w:t>
      </w:r>
    </w:p>
    <w:p>
      <w:pPr>
        <w:spacing w:after="0" w:line="126" w:lineRule="exact"/>
        <w:rPr>
          <w:sz w:val="20"/>
          <w:szCs w:val="20"/>
          <w:color w:val="auto"/>
        </w:rPr>
      </w:pPr>
    </w:p>
    <w:p>
      <w:pPr>
        <w:ind w:left="120" w:right="20"/>
        <w:spacing w:after="0" w:line="255" w:lineRule="auto"/>
        <w:rPr>
          <w:sz w:val="20"/>
          <w:szCs w:val="20"/>
          <w:color w:val="auto"/>
        </w:rPr>
      </w:pPr>
      <w:r>
        <w:rPr>
          <w:rFonts w:ascii="Arial" w:cs="Arial" w:eastAsia="Arial" w:hAnsi="Arial"/>
          <w:sz w:val="17"/>
          <w:szCs w:val="17"/>
          <w:color w:val="auto"/>
        </w:rPr>
        <w:t>Metagenomi, Inc.’s Series A-1 preferred stock, Series A-2 preferred stock, Series A-3 preferred stock, Series A-4 preferred stock, Series A-5 preferred stock, and Series B preferred stock and Series B-1 preferred stock will be designated as preferred stock under Metagenomi, Inc.’s amended and restated certificate of incorporation. All outstanding shares of our convertible preferred stock will be convertible into</w:t>
      </w:r>
    </w:p>
    <w:p>
      <w:pPr>
        <w:spacing w:after="0" w:line="2" w:lineRule="exact"/>
        <w:rPr>
          <w:sz w:val="20"/>
          <w:szCs w:val="20"/>
          <w:color w:val="auto"/>
        </w:rPr>
      </w:pPr>
    </w:p>
    <w:p>
      <w:pPr>
        <w:ind w:left="120"/>
        <w:spacing w:after="0"/>
        <w:tabs>
          <w:tab w:leader="none" w:pos="3920" w:val="left"/>
        </w:tabs>
        <w:rPr>
          <w:sz w:val="20"/>
          <w:szCs w:val="20"/>
          <w:color w:val="auto"/>
        </w:rPr>
      </w:pPr>
      <w:r>
        <w:rPr>
          <w:rFonts w:ascii="Arial" w:cs="Arial" w:eastAsia="Arial" w:hAnsi="Arial"/>
          <w:sz w:val="18"/>
          <w:szCs w:val="18"/>
          <w:color w:val="auto"/>
        </w:rPr>
        <w:t>shares of common stock on a one-for-</w:t>
      </w:r>
      <w:r>
        <w:rPr>
          <w:sz w:val="20"/>
          <w:szCs w:val="20"/>
          <w:color w:val="auto"/>
        </w:rPr>
        <w:tab/>
      </w:r>
      <w:r>
        <w:rPr>
          <w:rFonts w:ascii="Arial" w:cs="Arial" w:eastAsia="Arial" w:hAnsi="Arial"/>
          <w:sz w:val="18"/>
          <w:szCs w:val="18"/>
          <w:color w:val="auto"/>
        </w:rPr>
        <w:t>basis.</w:t>
      </w:r>
    </w:p>
    <w:p>
      <w:pPr>
        <w:spacing w:after="0" w:line="126"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In connection with the Reorganization, by operation of law, Metagenomi, Inc. will acquire all assets of Metagenomi Technologies, LLC, and assume all of its liabilities and obligations. The purpose of the Reorganization is to reorganize our corporate structure so that Metagenomi, Inc. will continue as a corporation and the existing investors of Metagenomi Technologies, LLC will own Metagenomi, Inc. capital stock rather than members’ equity interests in Metagenomi Technologies, LLC. The Reorganization generally is intended to be non-taxable for U.S. income tax purposes. Except as context otherwise requires, all information included in this prospectus is presented giving effect to the Reorganization.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46"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USE OF PROCEEDS</w:t>
      </w:r>
    </w:p>
    <w:p>
      <w:pPr>
        <w:spacing w:after="0" w:line="168" w:lineRule="exact"/>
        <w:rPr>
          <w:sz w:val="20"/>
          <w:szCs w:val="20"/>
          <w:color w:val="auto"/>
        </w:rPr>
      </w:pPr>
    </w:p>
    <w:p>
      <w:pPr>
        <w:ind w:left="120"/>
        <w:spacing w:after="0"/>
        <w:tabs>
          <w:tab w:leader="none" w:pos="5460" w:val="left"/>
        </w:tabs>
        <w:rPr>
          <w:sz w:val="20"/>
          <w:szCs w:val="20"/>
          <w:color w:val="auto"/>
        </w:rPr>
      </w:pPr>
      <w:r>
        <w:rPr>
          <w:rFonts w:ascii="Arial" w:cs="Arial" w:eastAsia="Arial" w:hAnsi="Arial"/>
          <w:sz w:val="18"/>
          <w:szCs w:val="18"/>
          <w:color w:val="auto"/>
        </w:rPr>
        <w:t>We estimate that the net proceeds to us from the sale of</w:t>
      </w:r>
      <w:r>
        <w:rPr>
          <w:sz w:val="20"/>
          <w:szCs w:val="20"/>
          <w:color w:val="auto"/>
        </w:rPr>
        <w:tab/>
      </w:r>
      <w:r>
        <w:rPr>
          <w:rFonts w:ascii="Arial" w:cs="Arial" w:eastAsia="Arial" w:hAnsi="Arial"/>
          <w:sz w:val="18"/>
          <w:szCs w:val="18"/>
          <w:color w:val="auto"/>
        </w:rPr>
        <w:t>shares of our common stock in this offering will be approximately</w:t>
      </w:r>
    </w:p>
    <w:p>
      <w:pPr>
        <w:spacing w:after="0" w:line="9" w:lineRule="exact"/>
        <w:rPr>
          <w:sz w:val="20"/>
          <w:szCs w:val="20"/>
          <w:color w:val="auto"/>
        </w:rPr>
      </w:pPr>
    </w:p>
    <w:p>
      <w:pPr>
        <w:ind w:left="620" w:hanging="504"/>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million, or approximately $</w:t>
      </w:r>
      <w:r>
        <w:rPr>
          <w:rFonts w:ascii="Arial" w:cs="Arial" w:eastAsia="Arial" w:hAnsi="Arial"/>
          <w:sz w:val="17"/>
          <w:szCs w:val="17"/>
          <w:color w:val="auto"/>
        </w:rPr>
        <w:t>million if the underwriters exercise in full their option to purchase additional shares, assuming an</w:t>
      </w:r>
    </w:p>
    <w:p>
      <w:pPr>
        <w:ind w:left="120" w:right="60"/>
        <w:spacing w:after="0" w:line="250" w:lineRule="auto"/>
        <w:rPr>
          <w:rFonts w:ascii="Arial" w:cs="Arial" w:eastAsia="Arial" w:hAnsi="Arial"/>
          <w:sz w:val="18"/>
          <w:szCs w:val="18"/>
          <w:color w:val="auto"/>
        </w:rPr>
      </w:pPr>
      <w:r>
        <w:rPr>
          <w:rFonts w:ascii="Arial" w:cs="Arial" w:eastAsia="Arial" w:hAnsi="Arial"/>
          <w:sz w:val="18"/>
          <w:szCs w:val="18"/>
          <w:color w:val="auto"/>
        </w:rPr>
        <w:t>initial public offering price of $ per share, the estimated midpoint of the price range set forth on the cover page of this prospectus, and after deducting estimated underwriting discounts and commissions and estimated offering expenses payable by us.</w:t>
      </w:r>
    </w:p>
    <w:p>
      <w:pPr>
        <w:spacing w:after="0" w:line="104"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A $1.00 increase (decrease) in the assumed initial public offering price of $ per share, the estimated midpoint of the price range set forth on the cover page of this prospectus, would increase (decrease) the net proceeds to us from this offering by $ million, assuming</w:t>
      </w:r>
    </w:p>
    <w:p>
      <w:pPr>
        <w:ind w:left="120" w:right="120"/>
        <w:spacing w:after="0" w:line="248" w:lineRule="auto"/>
        <w:rPr>
          <w:sz w:val="20"/>
          <w:szCs w:val="20"/>
          <w:color w:val="auto"/>
        </w:rPr>
      </w:pPr>
      <w:r>
        <w:rPr>
          <w:rFonts w:ascii="Arial" w:cs="Arial" w:eastAsia="Arial" w:hAnsi="Arial"/>
          <w:sz w:val="17"/>
          <w:szCs w:val="17"/>
          <w:color w:val="auto"/>
        </w:rPr>
        <w:t>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net proceeds to us from</w:t>
      </w:r>
    </w:p>
    <w:p>
      <w:pPr>
        <w:spacing w:after="0" w:line="2"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this offering by $ million, assuming no change in the assumed initial public offering price per share, the estimated midpoint of the price range set forth on the cover page of this prospectus, and after deducting estimated underwriting discounts and commissions and estimated offering expenses payable by us. We do not expect that a change in the offering price or the number of shares by these amounts would have a material effect on our intended uses of the net proceeds from this offering, although it may impact the amount of time prior to which we may need to seek additional capital.</w:t>
      </w:r>
    </w:p>
    <w:p>
      <w:pPr>
        <w:sectPr>
          <w:pgSz w:w="11900" w:h="16838" w:orient="portrait"/>
          <w:cols w:equalWidth="0" w:num="1">
            <w:col w:w="11120"/>
          </w:cols>
          <w:pgMar w:left="320" w:top="455" w:right="459" w:bottom="1440" w:gutter="0" w:footer="0" w:header="0"/>
        </w:sectPr>
      </w:pPr>
    </w:p>
    <w:p>
      <w:pPr>
        <w:spacing w:after="0" w:line="99" w:lineRule="exact"/>
        <w:rPr>
          <w:sz w:val="20"/>
          <w:szCs w:val="20"/>
          <w:color w:val="auto"/>
        </w:rPr>
      </w:pPr>
    </w:p>
    <w:p>
      <w:pPr>
        <w:ind w:left="120"/>
        <w:spacing w:after="0" w:line="301" w:lineRule="auto"/>
        <w:rPr>
          <w:sz w:val="20"/>
          <w:szCs w:val="20"/>
          <w:color w:val="auto"/>
        </w:rPr>
      </w:pPr>
      <w:r>
        <w:rPr>
          <w:rFonts w:ascii="Arial" w:cs="Arial" w:eastAsia="Arial" w:hAnsi="Arial"/>
          <w:sz w:val="17"/>
          <w:szCs w:val="17"/>
          <w:color w:val="auto"/>
        </w:rPr>
        <w:t>As of March 31, 2023, we had cash and cash equivalents and available-for-sale marketable securities of $ use the net proceeds from this offering, together with our existing cash and cash equivalents, as follows: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We currently intend to</w:t>
      </w:r>
    </w:p>
    <w:p>
      <w:pPr>
        <w:spacing w:after="0" w:line="346" w:lineRule="exact"/>
        <w:rPr>
          <w:sz w:val="20"/>
          <w:szCs w:val="20"/>
          <w:color w:val="auto"/>
        </w:rPr>
      </w:pPr>
    </w:p>
    <w:p>
      <w:pPr>
        <w:sectPr>
          <w:pgSz w:w="11900" w:h="16838" w:orient="portrait"/>
          <w:cols w:equalWidth="0" w:num="2">
            <w:col w:w="8540" w:space="400"/>
            <w:col w:w="2180"/>
          </w:cols>
          <w:pgMar w:left="320" w:top="455" w:right="459" w:bottom="1440" w:gutter="0" w:footer="0" w:header="0"/>
          <w:type w:val="continuous"/>
        </w:sectPr>
      </w:pPr>
    </w:p>
    <w:p>
      <w:pPr>
        <w:ind w:left="120"/>
        <w:spacing w:after="0"/>
        <w:tabs>
          <w:tab w:leader="none" w:pos="1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p>
    <w:p>
      <w:pPr>
        <w:spacing w:after="0" w:line="14"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remainder for general corporate purposes.</w:t>
      </w:r>
    </w:p>
    <w:p>
      <w:pPr>
        <w:sectPr>
          <w:pgSz w:w="11900" w:h="16838" w:orient="portrait"/>
          <w:cols w:equalWidth="0" w:num="1">
            <w:col w:w="11120"/>
          </w:cols>
          <w:pgMar w:left="320" w:top="455" w:right="459" w:bottom="1440" w:gutter="0" w:footer="0" w:header="0"/>
          <w:type w:val="continuous"/>
        </w:sectPr>
      </w:pP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Based on our current plans, we believe our existing cash and cash equivalents and available-for-sale marketable securities, together with</w:t>
      </w:r>
    </w:p>
    <w:p>
      <w:pPr>
        <w:spacing w:after="0" w:line="14" w:lineRule="exact"/>
        <w:rPr>
          <w:sz w:val="20"/>
          <w:szCs w:val="20"/>
          <w:color w:val="auto"/>
        </w:rPr>
      </w:pPr>
    </w:p>
    <w:p>
      <w:pPr>
        <w:ind w:left="120"/>
        <w:spacing w:after="0"/>
        <w:tabs>
          <w:tab w:leader="none" w:pos="10340" w:val="left"/>
        </w:tabs>
        <w:rPr>
          <w:sz w:val="20"/>
          <w:szCs w:val="20"/>
          <w:color w:val="auto"/>
        </w:rPr>
      </w:pPr>
      <w:r>
        <w:rPr>
          <w:rFonts w:ascii="Arial" w:cs="Arial" w:eastAsia="Arial" w:hAnsi="Arial"/>
          <w:sz w:val="18"/>
          <w:szCs w:val="18"/>
          <w:color w:val="auto"/>
        </w:rPr>
        <w:t>the net proceeds from this offering, will be sufficient to fund our operations and capital expenditure requirements into</w:t>
      </w:r>
      <w:r>
        <w:rPr>
          <w:sz w:val="20"/>
          <w:szCs w:val="20"/>
          <w:color w:val="auto"/>
        </w:rPr>
        <w:tab/>
      </w:r>
      <w:r>
        <w:rPr>
          <w:rFonts w:ascii="Arial" w:cs="Arial" w:eastAsia="Arial" w:hAnsi="Arial"/>
          <w:sz w:val="13"/>
          <w:szCs w:val="13"/>
          <w:color w:val="auto"/>
        </w:rPr>
        <w:t>.</w:t>
      </w:r>
    </w:p>
    <w:p>
      <w:pPr>
        <w:spacing w:after="0" w:line="12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All of our programs are currently in preclinical stage of development. The expected use of the net proceeds from this offering represents our intentions based upon our current plans and business conditions, which could change in the future as our plans and business conditions evolve. As of the date of this prospectus, we cannot predict with certainty all of the particular uses for the net proceeds to be received upon the closing of this offering or the amounts that we will actually spend on the uses set forth above. The amounts and timing of our actual expenditures may vary significantly depending on numerous factors, including the progress of our research and development, the status of and results from pre-clinical studies or clinical trials we may commence in the future, as well as any collaborations that we may enter into with third parties for our product candidates or strategic opportunities that become available to us, and any unforeseen cash needs. As a result, our management will retain broad discretion over the allocation of the net proceeds from this offering. We expect the net proceeds from this offering, together with our existing cash and cash equivalents, and available-for-sale marketable securities, will not be sufficient for us to advance any of our programs through regulatory approval, and we will need to raise additional capital to complete the development and potential commercialization of any of our programs.</w:t>
      </w:r>
    </w:p>
    <w:p>
      <w:pPr>
        <w:spacing w:after="0" w:line="105"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color w:val="auto"/>
        </w:rPr>
        <w:t>Pending our use of proceeds from this offering, we intend to invest the net proceeds in a variety of capital preservation instruments, including short-term, investment-grade, interest-bearing financial instruments and U.S. government securities.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5" w:right="45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DIVIDEND POLICY</w:t>
      </w:r>
    </w:p>
    <w:p>
      <w:pPr>
        <w:spacing w:after="0" w:line="168"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We have never declared or paid any cash dividends on our members’ capital. We currently intend to retain any future earnings to fund the development and expansion of our business, and therefore we do not anticipate paying cash dividends on our common stock in the foreseeable future. Any future determination to pay dividends will be at the discretion of our board of directors and will depend on our results of operations, financial condition, capital requirements and other factors deemed relevant by our board of directors.</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60"/>
          </w:cols>
          <w:pgMar w:left="320" w:top="455" w:right="5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auto"/>
        </w:rPr>
        <w:t>CAPITALIZATION</w:t>
      </w:r>
    </w:p>
    <w:p>
      <w:pPr>
        <w:spacing w:after="0" w:line="166"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The following table sets forth our cash, cash equivalents, available-for-sale marketable securities, and our capitalization as of March 31, 2023:</w:t>
      </w:r>
    </w:p>
    <w:p>
      <w:pPr>
        <w:spacing w:after="0" w:line="86"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on an actual basis;</w:t>
      </w:r>
    </w:p>
    <w:p>
      <w:pPr>
        <w:spacing w:after="0" w:line="144" w:lineRule="exact"/>
        <w:rPr>
          <w:sz w:val="20"/>
          <w:szCs w:val="20"/>
          <w:color w:val="auto"/>
        </w:rPr>
      </w:pPr>
    </w:p>
    <w:p>
      <w:pPr>
        <w:ind w:left="340" w:right="60" w:hanging="219"/>
        <w:spacing w:after="0" w:line="241" w:lineRule="auto"/>
        <w:tabs>
          <w:tab w:leader="none" w:pos="320" w:val="left"/>
        </w:tabs>
        <w:rPr>
          <w:sz w:val="20"/>
          <w:szCs w:val="20"/>
          <w:color w:val="auto"/>
        </w:rPr>
      </w:pPr>
      <w:r>
        <w:rPr>
          <w:rFonts w:ascii="Arial" w:cs="Arial" w:eastAsia="Arial" w:hAnsi="Arial"/>
          <w:sz w:val="18"/>
          <w:szCs w:val="18"/>
          <w:color w:val="auto"/>
        </w:rPr>
        <w:t>•</w:t>
        <w:tab/>
        <w:t>on a pro forma basis to give effect to (i) the Reorganization, (ii) the conversion of shares of our convertible preferred stock issued in exchange for redeemable convertible preferred units outstanding as of March 31, 2023 in connection with the Reorganization, into an equivalent number of shares of our common stock, which will occur immediately prior to the completion of this offering and</w:t>
      </w:r>
    </w:p>
    <w:p>
      <w:pPr>
        <w:spacing w:after="0" w:line="2" w:lineRule="exact"/>
        <w:rPr>
          <w:sz w:val="20"/>
          <w:szCs w:val="20"/>
          <w:color w:val="auto"/>
        </w:rPr>
      </w:pPr>
    </w:p>
    <w:p>
      <w:pPr>
        <w:ind w:left="340" w:right="560" w:hanging="8"/>
        <w:spacing w:after="0" w:line="250" w:lineRule="auto"/>
        <w:tabs>
          <w:tab w:leader="none" w:pos="6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immediately prior to the completion of this offering, in each case as if such events had occurred on March 31, 2023; and</w:t>
      </w:r>
    </w:p>
    <w:p>
      <w:pPr>
        <w:spacing w:after="0" w:line="104" w:lineRule="exact"/>
        <w:rPr>
          <w:sz w:val="20"/>
          <w:szCs w:val="20"/>
          <w:color w:val="auto"/>
        </w:rPr>
      </w:pPr>
    </w:p>
    <w:p>
      <w:pPr>
        <w:jc w:val="both"/>
        <w:ind w:left="340" w:right="40" w:hanging="219"/>
        <w:spacing w:after="0" w:line="245" w:lineRule="auto"/>
        <w:tabs>
          <w:tab w:leader="none" w:pos="320" w:val="left"/>
        </w:tabs>
        <w:rPr>
          <w:sz w:val="20"/>
          <w:szCs w:val="20"/>
          <w:color w:val="auto"/>
        </w:rPr>
      </w:pPr>
      <w:r>
        <w:rPr>
          <w:rFonts w:ascii="Arial" w:cs="Arial" w:eastAsia="Arial" w:hAnsi="Arial"/>
          <w:sz w:val="18"/>
          <w:szCs w:val="18"/>
          <w:color w:val="auto"/>
        </w:rPr>
        <w:t>•</w:t>
        <w:tab/>
        <w:t>on a pro forma as adjusted basis to give further effect to our issuance and sale of shares of our common stock in this offering at an assumed initial public offering price of $ per share, which is the estimated midpoint of the price range set forth on the cover</w:t>
      </w:r>
    </w:p>
    <w:p>
      <w:pPr>
        <w:ind w:left="340" w:right="220"/>
        <w:spacing w:after="0" w:line="250" w:lineRule="auto"/>
        <w:rPr>
          <w:sz w:val="20"/>
          <w:szCs w:val="20"/>
          <w:color w:val="auto"/>
        </w:rPr>
      </w:pPr>
      <w:r>
        <w:rPr>
          <w:rFonts w:ascii="Arial" w:cs="Arial" w:eastAsia="Arial" w:hAnsi="Arial"/>
          <w:sz w:val="18"/>
          <w:szCs w:val="18"/>
          <w:color w:val="auto"/>
        </w:rPr>
        <w:t>page of this prospectus, after deducting estimated underwriting discounts and commissions and estimated offering expenses payable by us.</w:t>
      </w:r>
    </w:p>
    <w:p>
      <w:pPr>
        <w:spacing w:after="0" w:line="104" w:lineRule="exact"/>
        <w:rPr>
          <w:sz w:val="20"/>
          <w:szCs w:val="20"/>
          <w:color w:val="auto"/>
        </w:rPr>
      </w:pPr>
    </w:p>
    <w:p>
      <w:pPr>
        <w:ind w:left="120" w:right="300"/>
        <w:spacing w:after="0" w:line="247" w:lineRule="auto"/>
        <w:rPr>
          <w:sz w:val="20"/>
          <w:szCs w:val="20"/>
          <w:color w:val="auto"/>
        </w:rPr>
      </w:pPr>
      <w:r>
        <w:rPr>
          <w:rFonts w:ascii="Arial" w:cs="Arial" w:eastAsia="Arial" w:hAnsi="Arial"/>
          <w:sz w:val="18"/>
          <w:szCs w:val="18"/>
          <w:color w:val="auto"/>
        </w:rPr>
        <w:t>The pro forma as adjusted information below is illustrative only, and our capitalization following the completion of this offering will be adjusted based on the actual initial public offering price and other terms of this offering determined at pricing. You should read the information in this table together with our consolidated financial statements and the related notes included elsewhere in this prospectus and “Management’s Discussion and Analysis of Financial Condition and Results of Operations” section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ind w:left="75"/>
              <w:spacing w:after="0"/>
              <w:rPr>
                <w:sz w:val="20"/>
                <w:szCs w:val="20"/>
                <w:color w:val="auto"/>
              </w:rPr>
            </w:pPr>
            <w:r>
              <w:rPr>
                <w:rFonts w:ascii="Arial" w:cs="Arial" w:eastAsia="Arial" w:hAnsi="Arial"/>
                <w:sz w:val="16"/>
                <w:szCs w:val="16"/>
                <w:b w:val="1"/>
                <w:bCs w:val="1"/>
                <w:color w:val="auto"/>
              </w:rPr>
              <w:t>As of March 31, 2023</w:t>
            </w:r>
          </w:p>
        </w:tc>
        <w:tc>
          <w:tcPr>
            <w:tcW w:w="11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ind w:left="180"/>
              <w:spacing w:after="0" w:line="168" w:lineRule="exact"/>
              <w:rPr>
                <w:sz w:val="20"/>
                <w:szCs w:val="20"/>
                <w:color w:val="auto"/>
              </w:rPr>
            </w:pPr>
            <w:r>
              <w:rPr>
                <w:rFonts w:ascii="Arial" w:cs="Arial" w:eastAsia="Arial" w:hAnsi="Arial"/>
                <w:sz w:val="16"/>
                <w:szCs w:val="16"/>
                <w:b w:val="1"/>
                <w:bCs w:val="1"/>
                <w:color w:val="auto"/>
              </w:rPr>
              <w:t>Pro forma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Actual</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6"/>
                <w:szCs w:val="16"/>
                <w:b w:val="1"/>
                <w:bCs w:val="1"/>
                <w:color w:val="auto"/>
              </w:rPr>
              <w:t>Pro forma</w:t>
            </w: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as adjusted</w:t>
            </w:r>
          </w:p>
        </w:tc>
        <w:tc>
          <w:tcPr>
            <w:tcW w:w="0" w:type="dxa"/>
            <w:vAlign w:val="bottom"/>
          </w:tcPr>
          <w:p>
            <w:pPr>
              <w:spacing w:after="0"/>
              <w:rPr>
                <w:sz w:val="1"/>
                <w:szCs w:val="1"/>
                <w:color w:val="auto"/>
              </w:rPr>
            </w:pPr>
          </w:p>
        </w:tc>
      </w:tr>
      <w:tr>
        <w:trPr>
          <w:trHeight w:val="156"/>
        </w:trPr>
        <w:tc>
          <w:tcPr>
            <w:tcW w:w="2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960" w:type="dxa"/>
            <w:vAlign w:val="bottom"/>
            <w:gridSpan w:val="6"/>
          </w:tcPr>
          <w:p>
            <w:pPr>
              <w:jc w:val="center"/>
              <w:ind w:right="60"/>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Cash and cash equivalents</w:t>
            </w:r>
          </w:p>
        </w:tc>
        <w:tc>
          <w:tcPr>
            <w:tcW w:w="6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jc w:val="right"/>
              <w:ind w:right="655"/>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51"/>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20" w:type="dxa"/>
            <w:vAlign w:val="bottom"/>
            <w:gridSpan w:val="3"/>
          </w:tcPr>
          <w:p>
            <w:pPr>
              <w:spacing w:after="0" w:line="202" w:lineRule="exact"/>
              <w:rPr>
                <w:sz w:val="20"/>
                <w:szCs w:val="20"/>
                <w:color w:val="auto"/>
              </w:rPr>
            </w:pPr>
            <w:r>
              <w:rPr>
                <w:rFonts w:ascii="Arial" w:cs="Arial" w:eastAsia="Arial" w:hAnsi="Arial"/>
                <w:sz w:val="18"/>
                <w:szCs w:val="18"/>
                <w:color w:val="auto"/>
              </w:rPr>
              <w:t>Available-for-sale marketable securities</w:t>
            </w:r>
          </w:p>
        </w:tc>
        <w:tc>
          <w:tcPr>
            <w:tcW w:w="3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72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Redeemable convertible preferred units; no par value;</w:t>
            </w:r>
          </w:p>
        </w:tc>
        <w:tc>
          <w:tcPr>
            <w:tcW w:w="380" w:type="dxa"/>
            <w:vAlign w:val="bottom"/>
            <w:shd w:val="clear" w:color="auto" w:fill="CCEEFF"/>
          </w:tcPr>
          <w:p>
            <w:pPr>
              <w:spacing w:after="0"/>
              <w:rPr>
                <w:sz w:val="15"/>
                <w:szCs w:val="15"/>
                <w:color w:val="auto"/>
              </w:rPr>
            </w:pPr>
          </w:p>
        </w:tc>
        <w:tc>
          <w:tcPr>
            <w:tcW w:w="2920" w:type="dxa"/>
            <w:vAlign w:val="bottom"/>
            <w:gridSpan w:val="2"/>
            <w:shd w:val="clear" w:color="auto" w:fill="CCEEFF"/>
          </w:tcPr>
          <w:p>
            <w:pPr>
              <w:jc w:val="right"/>
              <w:ind w:right="1475"/>
              <w:spacing w:after="0" w:line="183" w:lineRule="exact"/>
              <w:rPr>
                <w:sz w:val="20"/>
                <w:szCs w:val="20"/>
                <w:color w:val="auto"/>
              </w:rPr>
            </w:pPr>
            <w:r>
              <w:rPr>
                <w:rFonts w:ascii="Arial" w:cs="Arial" w:eastAsia="Arial" w:hAnsi="Arial"/>
                <w:sz w:val="18"/>
                <w:szCs w:val="18"/>
                <w:color w:val="auto"/>
              </w:rPr>
              <w:t>units authorized,</w:t>
            </w: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20" w:type="dxa"/>
            <w:vAlign w:val="bottom"/>
            <w:gridSpan w:val="6"/>
            <w:shd w:val="clear" w:color="auto" w:fill="CCEEFF"/>
          </w:tcPr>
          <w:p>
            <w:pPr>
              <w:ind w:left="980"/>
              <w:spacing w:after="0" w:line="202" w:lineRule="exact"/>
              <w:rPr>
                <w:sz w:val="20"/>
                <w:szCs w:val="20"/>
                <w:color w:val="auto"/>
              </w:rPr>
            </w:pPr>
            <w:r>
              <w:rPr>
                <w:rFonts w:ascii="Arial" w:cs="Arial" w:eastAsia="Arial" w:hAnsi="Arial"/>
                <w:sz w:val="18"/>
                <w:szCs w:val="18"/>
                <w:color w:val="auto"/>
              </w:rPr>
              <w:t>units issued and outstanding, actual; no units authorized issued and</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outstanding, pro forma and pro forma as adjusted</w:t>
            </w:r>
          </w:p>
        </w:tc>
        <w:tc>
          <w:tcPr>
            <w:tcW w:w="3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780" w:type="dxa"/>
            <w:vAlign w:val="bottom"/>
            <w:gridSpan w:val="2"/>
          </w:tcPr>
          <w:p>
            <w:pPr>
              <w:spacing w:after="0" w:line="183" w:lineRule="exact"/>
              <w:rPr>
                <w:sz w:val="20"/>
                <w:szCs w:val="20"/>
                <w:color w:val="auto"/>
              </w:rPr>
            </w:pPr>
            <w:r>
              <w:rPr>
                <w:rFonts w:ascii="Arial" w:cs="Arial" w:eastAsia="Arial" w:hAnsi="Arial"/>
                <w:sz w:val="18"/>
                <w:szCs w:val="18"/>
                <w:color w:val="auto"/>
              </w:rPr>
              <w:t>Convertible preferred stock; $</w:t>
            </w:r>
          </w:p>
        </w:tc>
        <w:tc>
          <w:tcPr>
            <w:tcW w:w="5240" w:type="dxa"/>
            <w:vAlign w:val="bottom"/>
            <w:gridSpan w:val="4"/>
          </w:tcPr>
          <w:p>
            <w:pPr>
              <w:jc w:val="right"/>
              <w:ind w:right="1635"/>
              <w:spacing w:after="0" w:line="183" w:lineRule="exact"/>
              <w:rPr>
                <w:sz w:val="20"/>
                <w:szCs w:val="20"/>
                <w:color w:val="auto"/>
              </w:rPr>
            </w:pPr>
            <w:r>
              <w:rPr>
                <w:rFonts w:ascii="Arial" w:cs="Arial" w:eastAsia="Arial" w:hAnsi="Arial"/>
                <w:sz w:val="18"/>
                <w:szCs w:val="18"/>
                <w:color w:val="auto"/>
              </w:rPr>
              <w:t>par value; no shares authorized, issued and</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80" w:type="dxa"/>
            <w:vAlign w:val="bottom"/>
          </w:tcPr>
          <w:p>
            <w:pPr>
              <w:ind w:left="180"/>
              <w:spacing w:after="0" w:line="202" w:lineRule="exact"/>
              <w:rPr>
                <w:sz w:val="20"/>
                <w:szCs w:val="20"/>
                <w:color w:val="auto"/>
              </w:rPr>
            </w:pPr>
            <w:r>
              <w:rPr>
                <w:rFonts w:ascii="Arial" w:cs="Arial" w:eastAsia="Arial" w:hAnsi="Arial"/>
                <w:sz w:val="18"/>
                <w:szCs w:val="18"/>
                <w:color w:val="auto"/>
              </w:rPr>
              <w:t>outstanding, actual;</w:t>
            </w:r>
          </w:p>
        </w:tc>
        <w:tc>
          <w:tcPr>
            <w:tcW w:w="5840" w:type="dxa"/>
            <w:vAlign w:val="bottom"/>
            <w:gridSpan w:val="5"/>
          </w:tcPr>
          <w:p>
            <w:pPr>
              <w:ind w:left="400"/>
              <w:spacing w:after="0" w:line="202" w:lineRule="exact"/>
              <w:rPr>
                <w:sz w:val="20"/>
                <w:szCs w:val="20"/>
                <w:color w:val="auto"/>
              </w:rPr>
            </w:pPr>
            <w:r>
              <w:rPr>
                <w:rFonts w:ascii="Arial" w:cs="Arial" w:eastAsia="Arial" w:hAnsi="Arial"/>
                <w:sz w:val="18"/>
                <w:szCs w:val="18"/>
                <w:color w:val="auto"/>
              </w:rPr>
              <w:t>shares authorized and no shares issued and</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20" w:type="dxa"/>
            <w:vAlign w:val="bottom"/>
            <w:gridSpan w:val="6"/>
          </w:tcPr>
          <w:p>
            <w:pPr>
              <w:ind w:left="180"/>
              <w:spacing w:after="0" w:line="189" w:lineRule="exact"/>
              <w:rPr>
                <w:sz w:val="20"/>
                <w:szCs w:val="20"/>
                <w:color w:val="auto"/>
              </w:rPr>
            </w:pPr>
            <w:r>
              <w:rPr>
                <w:rFonts w:ascii="Arial" w:cs="Arial" w:eastAsia="Arial" w:hAnsi="Arial"/>
                <w:sz w:val="18"/>
                <w:szCs w:val="18"/>
                <w:color w:val="auto"/>
              </w:rPr>
              <w:t>outstanding, pro forma; and no shares authorized, issued and outstanding, pro</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180" w:type="dxa"/>
            <w:vAlign w:val="bottom"/>
          </w:tcPr>
          <w:p>
            <w:pPr>
              <w:ind w:left="180"/>
              <w:spacing w:after="0"/>
              <w:rPr>
                <w:sz w:val="20"/>
                <w:szCs w:val="20"/>
                <w:color w:val="auto"/>
              </w:rPr>
            </w:pPr>
            <w:r>
              <w:rPr>
                <w:rFonts w:ascii="Arial" w:cs="Arial" w:eastAsia="Arial" w:hAnsi="Arial"/>
                <w:sz w:val="18"/>
                <w:szCs w:val="18"/>
                <w:color w:val="auto"/>
              </w:rPr>
              <w:t>forma as adjusted</w:t>
            </w:r>
          </w:p>
        </w:tc>
        <w:tc>
          <w:tcPr>
            <w:tcW w:w="6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4720" w:type="dxa"/>
            <w:vAlign w:val="bottom"/>
            <w:gridSpan w:val="3"/>
          </w:tcPr>
          <w:p>
            <w:pPr>
              <w:spacing w:after="0"/>
              <w:rPr>
                <w:sz w:val="4"/>
                <w:szCs w:val="4"/>
                <w:color w:val="auto"/>
              </w:rPr>
            </w:pPr>
          </w:p>
        </w:tc>
        <w:tc>
          <w:tcPr>
            <w:tcW w:w="3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Members’/Stockholders’ equity (deficit):</w:t>
            </w:r>
          </w:p>
        </w:tc>
        <w:tc>
          <w:tcPr>
            <w:tcW w:w="3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80" w:type="dxa"/>
            <w:vAlign w:val="bottom"/>
            <w:gridSpan w:val="2"/>
          </w:tcPr>
          <w:p>
            <w:pPr>
              <w:ind w:left="360"/>
              <w:spacing w:after="0" w:line="183" w:lineRule="exact"/>
              <w:rPr>
                <w:sz w:val="20"/>
                <w:szCs w:val="20"/>
                <w:color w:val="auto"/>
              </w:rPr>
            </w:pPr>
            <w:r>
              <w:rPr>
                <w:rFonts w:ascii="Arial" w:cs="Arial" w:eastAsia="Arial" w:hAnsi="Arial"/>
                <w:sz w:val="18"/>
                <w:szCs w:val="18"/>
                <w:color w:val="auto"/>
              </w:rPr>
              <w:t>Profits interests, no par value;</w:t>
            </w:r>
          </w:p>
        </w:tc>
        <w:tc>
          <w:tcPr>
            <w:tcW w:w="1940" w:type="dxa"/>
            <w:vAlign w:val="bottom"/>
          </w:tcPr>
          <w:p>
            <w:pPr>
              <w:jc w:val="right"/>
              <w:ind w:right="70"/>
              <w:spacing w:after="0" w:line="183" w:lineRule="exact"/>
              <w:rPr>
                <w:sz w:val="20"/>
                <w:szCs w:val="20"/>
                <w:color w:val="auto"/>
              </w:rPr>
            </w:pPr>
            <w:r>
              <w:rPr>
                <w:rFonts w:ascii="Arial" w:cs="Arial" w:eastAsia="Arial" w:hAnsi="Arial"/>
                <w:sz w:val="18"/>
                <w:szCs w:val="18"/>
                <w:color w:val="auto"/>
              </w:rPr>
              <w:t>units authorized,</w:t>
            </w:r>
          </w:p>
        </w:tc>
        <w:tc>
          <w:tcPr>
            <w:tcW w:w="3300" w:type="dxa"/>
            <w:vAlign w:val="bottom"/>
            <w:gridSpan w:val="3"/>
          </w:tcPr>
          <w:p>
            <w:pPr>
              <w:jc w:val="right"/>
              <w:ind w:right="1575"/>
              <w:spacing w:after="0" w:line="183" w:lineRule="exact"/>
              <w:rPr>
                <w:sz w:val="20"/>
                <w:szCs w:val="20"/>
                <w:color w:val="auto"/>
              </w:rPr>
            </w:pPr>
            <w:r>
              <w:rPr>
                <w:rFonts w:ascii="Arial" w:cs="Arial" w:eastAsia="Arial" w:hAnsi="Arial"/>
                <w:sz w:val="18"/>
                <w:szCs w:val="18"/>
                <w:color w:val="auto"/>
              </w:rPr>
              <w:t>units issued and</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20" w:type="dxa"/>
            <w:vAlign w:val="bottom"/>
            <w:gridSpan w:val="6"/>
          </w:tcPr>
          <w:p>
            <w:pPr>
              <w:ind w:left="540"/>
              <w:spacing w:after="0" w:line="202" w:lineRule="exact"/>
              <w:rPr>
                <w:sz w:val="20"/>
                <w:szCs w:val="20"/>
                <w:color w:val="auto"/>
              </w:rPr>
            </w:pPr>
            <w:r>
              <w:rPr>
                <w:rFonts w:ascii="Arial" w:cs="Arial" w:eastAsia="Arial" w:hAnsi="Arial"/>
                <w:sz w:val="18"/>
                <w:szCs w:val="18"/>
                <w:color w:val="auto"/>
              </w:rPr>
              <w:t>outstanding, actual; no units authorized, issued and outstanding, pro forma</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780" w:type="dxa"/>
            <w:vAlign w:val="bottom"/>
            <w:gridSpan w:val="2"/>
          </w:tcPr>
          <w:p>
            <w:pPr>
              <w:ind w:left="540"/>
              <w:spacing w:after="0"/>
              <w:rPr>
                <w:sz w:val="20"/>
                <w:szCs w:val="20"/>
                <w:color w:val="auto"/>
              </w:rPr>
            </w:pPr>
            <w:r>
              <w:rPr>
                <w:rFonts w:ascii="Arial" w:cs="Arial" w:eastAsia="Arial" w:hAnsi="Arial"/>
                <w:sz w:val="18"/>
                <w:szCs w:val="18"/>
                <w:color w:val="auto"/>
              </w:rPr>
              <w:t>and pro forma as adjusted</w:t>
            </w:r>
          </w:p>
        </w:tc>
        <w:tc>
          <w:tcPr>
            <w:tcW w:w="1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780" w:type="dxa"/>
            <w:vAlign w:val="bottom"/>
            <w:gridSpan w:val="2"/>
            <w:shd w:val="clear" w:color="auto" w:fill="CCEEFF"/>
          </w:tcPr>
          <w:p>
            <w:pPr>
              <w:ind w:left="360"/>
              <w:spacing w:after="0" w:line="183" w:lineRule="exact"/>
              <w:rPr>
                <w:sz w:val="20"/>
                <w:szCs w:val="20"/>
                <w:color w:val="auto"/>
              </w:rPr>
            </w:pPr>
            <w:r>
              <w:rPr>
                <w:rFonts w:ascii="Arial" w:cs="Arial" w:eastAsia="Arial" w:hAnsi="Arial"/>
                <w:sz w:val="18"/>
                <w:szCs w:val="18"/>
                <w:color w:val="auto"/>
              </w:rPr>
              <w:t>Common units, no par value;</w:t>
            </w:r>
          </w:p>
        </w:tc>
        <w:tc>
          <w:tcPr>
            <w:tcW w:w="1940" w:type="dxa"/>
            <w:vAlign w:val="bottom"/>
            <w:shd w:val="clear" w:color="auto" w:fill="CCEEFF"/>
          </w:tcPr>
          <w:p>
            <w:pPr>
              <w:jc w:val="right"/>
              <w:ind w:right="210"/>
              <w:spacing w:after="0" w:line="183" w:lineRule="exact"/>
              <w:rPr>
                <w:sz w:val="20"/>
                <w:szCs w:val="20"/>
                <w:color w:val="auto"/>
              </w:rPr>
            </w:pPr>
            <w:r>
              <w:rPr>
                <w:rFonts w:ascii="Arial" w:cs="Arial" w:eastAsia="Arial" w:hAnsi="Arial"/>
                <w:sz w:val="18"/>
                <w:szCs w:val="18"/>
                <w:color w:val="auto"/>
              </w:rPr>
              <w:t>units authorized,</w:t>
            </w:r>
          </w:p>
        </w:tc>
        <w:tc>
          <w:tcPr>
            <w:tcW w:w="3300" w:type="dxa"/>
            <w:vAlign w:val="bottom"/>
            <w:gridSpan w:val="3"/>
            <w:shd w:val="clear" w:color="auto" w:fill="CCEEFF"/>
          </w:tcPr>
          <w:p>
            <w:pPr>
              <w:jc w:val="right"/>
              <w:ind w:right="1755"/>
              <w:spacing w:after="0" w:line="183" w:lineRule="exact"/>
              <w:rPr>
                <w:sz w:val="20"/>
                <w:szCs w:val="20"/>
                <w:color w:val="auto"/>
              </w:rPr>
            </w:pPr>
            <w:r>
              <w:rPr>
                <w:rFonts w:ascii="Arial" w:cs="Arial" w:eastAsia="Arial" w:hAnsi="Arial"/>
                <w:sz w:val="18"/>
                <w:szCs w:val="18"/>
                <w:color w:val="auto"/>
              </w:rPr>
              <w:t>units issued and</w:t>
            </w: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20" w:type="dxa"/>
            <w:vAlign w:val="bottom"/>
            <w:gridSpan w:val="6"/>
            <w:shd w:val="clear" w:color="auto" w:fill="CCEEFF"/>
          </w:tcPr>
          <w:p>
            <w:pPr>
              <w:ind w:left="540"/>
              <w:spacing w:after="0" w:line="202" w:lineRule="exact"/>
              <w:rPr>
                <w:sz w:val="20"/>
                <w:szCs w:val="20"/>
                <w:color w:val="auto"/>
              </w:rPr>
            </w:pPr>
            <w:r>
              <w:rPr>
                <w:rFonts w:ascii="Arial" w:cs="Arial" w:eastAsia="Arial" w:hAnsi="Arial"/>
                <w:sz w:val="18"/>
                <w:szCs w:val="18"/>
                <w:color w:val="auto"/>
              </w:rPr>
              <w:t>outstanding, actual; no units authorized, issued and outstanding, pro forma</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and pro forma as adjusted</w:t>
            </w:r>
          </w:p>
        </w:tc>
        <w:tc>
          <w:tcPr>
            <w:tcW w:w="1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180" w:type="dxa"/>
            <w:vAlign w:val="bottom"/>
          </w:tcPr>
          <w:p>
            <w:pPr>
              <w:ind w:left="360"/>
              <w:spacing w:after="0" w:line="183" w:lineRule="exact"/>
              <w:rPr>
                <w:sz w:val="20"/>
                <w:szCs w:val="20"/>
                <w:color w:val="auto"/>
              </w:rPr>
            </w:pPr>
            <w:r>
              <w:rPr>
                <w:rFonts w:ascii="Arial" w:cs="Arial" w:eastAsia="Arial" w:hAnsi="Arial"/>
                <w:sz w:val="18"/>
                <w:szCs w:val="18"/>
                <w:color w:val="auto"/>
              </w:rPr>
              <w:t>Preferred stock, $</w:t>
            </w:r>
          </w:p>
        </w:tc>
        <w:tc>
          <w:tcPr>
            <w:tcW w:w="5840" w:type="dxa"/>
            <w:vAlign w:val="bottom"/>
            <w:gridSpan w:val="5"/>
          </w:tcPr>
          <w:p>
            <w:pPr>
              <w:ind w:left="40"/>
              <w:spacing w:after="0" w:line="183" w:lineRule="exact"/>
              <w:rPr>
                <w:sz w:val="20"/>
                <w:szCs w:val="20"/>
                <w:color w:val="auto"/>
              </w:rPr>
            </w:pPr>
            <w:r>
              <w:rPr>
                <w:rFonts w:ascii="Arial" w:cs="Arial" w:eastAsia="Arial" w:hAnsi="Arial"/>
                <w:sz w:val="18"/>
                <w:szCs w:val="18"/>
                <w:color w:val="auto"/>
              </w:rPr>
              <w:t>par value; no shares authorized, issued or outstanding,</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8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actual and pro forma;</w:t>
            </w:r>
          </w:p>
        </w:tc>
        <w:tc>
          <w:tcPr>
            <w:tcW w:w="5240" w:type="dxa"/>
            <w:vAlign w:val="bottom"/>
            <w:gridSpan w:val="4"/>
          </w:tcPr>
          <w:p>
            <w:pPr>
              <w:jc w:val="right"/>
              <w:ind w:right="1455"/>
              <w:spacing w:after="0" w:line="202" w:lineRule="exact"/>
              <w:rPr>
                <w:sz w:val="20"/>
                <w:szCs w:val="20"/>
                <w:color w:val="auto"/>
              </w:rPr>
            </w:pPr>
            <w:r>
              <w:rPr>
                <w:rFonts w:ascii="Arial" w:cs="Arial" w:eastAsia="Arial" w:hAnsi="Arial"/>
                <w:sz w:val="18"/>
                <w:szCs w:val="18"/>
                <w:color w:val="auto"/>
              </w:rPr>
              <w:t>shares authorized and no shares issued or</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20" w:type="dxa"/>
            <w:vAlign w:val="bottom"/>
            <w:gridSpan w:val="3"/>
          </w:tcPr>
          <w:p>
            <w:pPr>
              <w:ind w:left="540"/>
              <w:spacing w:after="0"/>
              <w:rPr>
                <w:sz w:val="20"/>
                <w:szCs w:val="20"/>
                <w:color w:val="auto"/>
              </w:rPr>
            </w:pPr>
            <w:r>
              <w:rPr>
                <w:rFonts w:ascii="Arial" w:cs="Arial" w:eastAsia="Arial" w:hAnsi="Arial"/>
                <w:sz w:val="18"/>
                <w:szCs w:val="18"/>
                <w:color w:val="auto"/>
              </w:rPr>
              <w:t>outstanding, pro forma as adjusted</w:t>
            </w:r>
          </w:p>
        </w:tc>
        <w:tc>
          <w:tcPr>
            <w:tcW w:w="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180" w:type="dxa"/>
            <w:vAlign w:val="bottom"/>
            <w:shd w:val="clear" w:color="auto" w:fill="CCEEFF"/>
          </w:tcPr>
          <w:p>
            <w:pPr>
              <w:ind w:left="360"/>
              <w:spacing w:after="0" w:line="183" w:lineRule="exact"/>
              <w:rPr>
                <w:sz w:val="20"/>
                <w:szCs w:val="20"/>
                <w:color w:val="auto"/>
              </w:rPr>
            </w:pPr>
            <w:r>
              <w:rPr>
                <w:rFonts w:ascii="Arial" w:cs="Arial" w:eastAsia="Arial" w:hAnsi="Arial"/>
                <w:sz w:val="18"/>
                <w:szCs w:val="18"/>
                <w:color w:val="auto"/>
              </w:rPr>
              <w:t>Common stock, $</w:t>
            </w:r>
          </w:p>
        </w:tc>
        <w:tc>
          <w:tcPr>
            <w:tcW w:w="5840" w:type="dxa"/>
            <w:vAlign w:val="bottom"/>
            <w:gridSpan w:val="5"/>
            <w:shd w:val="clear" w:color="auto" w:fill="CCEEFF"/>
          </w:tcPr>
          <w:p>
            <w:pPr>
              <w:ind w:left="20"/>
              <w:spacing w:after="0" w:line="183" w:lineRule="exact"/>
              <w:rPr>
                <w:sz w:val="20"/>
                <w:szCs w:val="20"/>
                <w:color w:val="auto"/>
              </w:rPr>
            </w:pPr>
            <w:r>
              <w:rPr>
                <w:rFonts w:ascii="Arial" w:cs="Arial" w:eastAsia="Arial" w:hAnsi="Arial"/>
                <w:sz w:val="18"/>
                <w:szCs w:val="18"/>
                <w:color w:val="auto"/>
              </w:rPr>
              <w:t>par value; no shares authorized, issued and</w:t>
            </w: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outstanding, actual;</w:t>
            </w:r>
          </w:p>
        </w:tc>
        <w:tc>
          <w:tcPr>
            <w:tcW w:w="600" w:type="dxa"/>
            <w:vAlign w:val="bottom"/>
            <w:shd w:val="clear" w:color="auto" w:fill="CCEEFF"/>
          </w:tcPr>
          <w:p>
            <w:pPr>
              <w:spacing w:after="0"/>
              <w:rPr>
                <w:sz w:val="17"/>
                <w:szCs w:val="17"/>
                <w:color w:val="auto"/>
              </w:rPr>
            </w:pPr>
          </w:p>
        </w:tc>
        <w:tc>
          <w:tcPr>
            <w:tcW w:w="19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shares authorized,</w:t>
            </w:r>
          </w:p>
        </w:tc>
        <w:tc>
          <w:tcPr>
            <w:tcW w:w="38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jc w:val="right"/>
              <w:ind w:right="1555"/>
              <w:spacing w:after="0" w:line="202" w:lineRule="exact"/>
              <w:rPr>
                <w:sz w:val="20"/>
                <w:szCs w:val="20"/>
                <w:color w:val="auto"/>
              </w:rPr>
            </w:pPr>
            <w:r>
              <w:rPr>
                <w:rFonts w:ascii="Arial" w:cs="Arial" w:eastAsia="Arial" w:hAnsi="Arial"/>
                <w:sz w:val="18"/>
                <w:szCs w:val="18"/>
                <w:color w:val="auto"/>
              </w:rPr>
              <w:t>shares issued</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and outstanding, pro forma;</w:t>
            </w:r>
          </w:p>
        </w:tc>
        <w:tc>
          <w:tcPr>
            <w:tcW w:w="232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shares authorized,</w:t>
            </w:r>
          </w:p>
        </w:tc>
        <w:tc>
          <w:tcPr>
            <w:tcW w:w="2920" w:type="dxa"/>
            <w:vAlign w:val="bottom"/>
            <w:gridSpan w:val="2"/>
            <w:shd w:val="clear" w:color="auto" w:fill="CCEEFF"/>
          </w:tcPr>
          <w:p>
            <w:pPr>
              <w:jc w:val="right"/>
              <w:ind w:right="1475"/>
              <w:spacing w:after="0" w:line="202" w:lineRule="exact"/>
              <w:rPr>
                <w:sz w:val="20"/>
                <w:szCs w:val="20"/>
                <w:color w:val="auto"/>
              </w:rPr>
            </w:pPr>
            <w:r>
              <w:rPr>
                <w:rFonts w:ascii="Arial" w:cs="Arial" w:eastAsia="Arial" w:hAnsi="Arial"/>
                <w:sz w:val="18"/>
                <w:szCs w:val="18"/>
                <w:color w:val="auto"/>
              </w:rPr>
              <w:t>shares</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issued and outstanding, pro forma as adjusted</w:t>
            </w:r>
          </w:p>
        </w:tc>
        <w:tc>
          <w:tcPr>
            <w:tcW w:w="3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1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loss</w:t>
            </w:r>
          </w:p>
        </w:tc>
        <w:tc>
          <w:tcPr>
            <w:tcW w:w="3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80" w:type="dxa"/>
            <w:vAlign w:val="bottom"/>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20" w:type="dxa"/>
            <w:vAlign w:val="bottom"/>
            <w:gridSpan w:val="3"/>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members’/stockholders’ equity (deficit)</w:t>
            </w:r>
          </w:p>
        </w:tc>
        <w:tc>
          <w:tcPr>
            <w:tcW w:w="3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80" w:type="dxa"/>
            <w:vAlign w:val="bottom"/>
          </w:tcPr>
          <w:p>
            <w:pPr>
              <w:spacing w:after="0"/>
              <w:rPr>
                <w:sz w:val="20"/>
                <w:szCs w:val="20"/>
                <w:color w:val="auto"/>
              </w:rPr>
            </w:pPr>
            <w:r>
              <w:rPr>
                <w:rFonts w:ascii="Arial" w:cs="Arial" w:eastAsia="Arial" w:hAnsi="Arial"/>
                <w:sz w:val="18"/>
                <w:szCs w:val="18"/>
                <w:color w:val="auto"/>
              </w:rPr>
              <w:t>Total capitalization</w:t>
            </w:r>
          </w:p>
        </w:tc>
        <w:tc>
          <w:tcPr>
            <w:tcW w:w="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18"/>
                <w:szCs w:val="18"/>
                <w:color w:val="auto"/>
              </w:rPr>
            </w:pPr>
          </w:p>
        </w:tc>
        <w:tc>
          <w:tcPr>
            <w:tcW w:w="9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18"/>
                <w:szCs w:val="18"/>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vMerge w:val="restart"/>
          </w:tcPr>
          <w:p>
            <w:pPr>
              <w:jc w:val="right"/>
              <w:ind w:right="1370"/>
              <w:spacing w:after="0"/>
              <w:rPr>
                <w:sz w:val="20"/>
                <w:szCs w:val="20"/>
                <w:color w:val="auto"/>
              </w:rPr>
            </w:pPr>
            <w:r>
              <w:rPr>
                <w:rFonts w:ascii="Arial" w:cs="Arial" w:eastAsia="Arial" w:hAnsi="Arial"/>
                <w:sz w:val="18"/>
                <w:szCs w:val="18"/>
                <w:color w:val="auto"/>
              </w:rPr>
              <w:t>96</w:t>
            </w: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tabs>
          <w:tab w:leader="none" w:pos="6780" w:val="left"/>
        </w:tabs>
        <w:rPr>
          <w:sz w:val="20"/>
          <w:szCs w:val="20"/>
          <w:color w:val="auto"/>
        </w:rPr>
      </w:pPr>
      <w:r>
        <w:rPr>
          <w:rFonts w:ascii="Arial" w:cs="Arial" w:eastAsia="Arial" w:hAnsi="Arial"/>
          <w:sz w:val="18"/>
          <w:szCs w:val="18"/>
          <w:color w:val="auto"/>
        </w:rPr>
        <w:t>Each $1.00 increase (decrease) in the assumed initial public offering price of $</w:t>
      </w:r>
      <w:r>
        <w:rPr>
          <w:sz w:val="20"/>
          <w:szCs w:val="20"/>
          <w:color w:val="auto"/>
        </w:rPr>
        <w:tab/>
      </w:r>
      <w:r>
        <w:rPr>
          <w:rFonts w:ascii="Arial" w:cs="Arial" w:eastAsia="Arial" w:hAnsi="Arial"/>
          <w:sz w:val="17"/>
          <w:szCs w:val="17"/>
          <w:color w:val="auto"/>
        </w:rPr>
        <w:t>per share, which is the estimated midpoint of the price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range set forth on the cover page of this prospectus, would increase (decrease) the pro forma as adjusted amount of each of cash and</w:t>
      </w:r>
    </w:p>
    <w:p>
      <w:pPr>
        <w:ind w:left="120" w:right="180"/>
        <w:spacing w:after="0" w:line="234" w:lineRule="auto"/>
        <w:rPr>
          <w:sz w:val="20"/>
          <w:szCs w:val="20"/>
          <w:color w:val="auto"/>
        </w:rPr>
      </w:pPr>
      <w:r>
        <w:rPr>
          <w:rFonts w:ascii="Arial" w:cs="Arial" w:eastAsia="Arial" w:hAnsi="Arial"/>
          <w:sz w:val="18"/>
          <w:szCs w:val="18"/>
          <w:color w:val="auto"/>
        </w:rPr>
        <w:t>cash equivalents, total stockholders’ equity (deficit) and total capitalization by $ million, assuming that the number of shares offered by us, as set forth on the cover page of this prospectus, remains the same and after deducting estimated underwriting discounts and commissions and estimated offering expenses payable by us. Each increase (decrease) of 1,000,000 shares in the number of shares offered by us, as set forth on the cover page of this prospectus, would increase (decrease) the pro forma as adjusted amount of each of</w:t>
      </w:r>
    </w:p>
    <w:p>
      <w:pPr>
        <w:spacing w:after="0" w:line="3" w:lineRule="exact"/>
        <w:rPr>
          <w:sz w:val="20"/>
          <w:szCs w:val="20"/>
          <w:color w:val="auto"/>
        </w:rPr>
      </w:pPr>
    </w:p>
    <w:p>
      <w:pPr>
        <w:ind w:left="120" w:right="500"/>
        <w:spacing w:after="0" w:line="242" w:lineRule="auto"/>
        <w:rPr>
          <w:sz w:val="20"/>
          <w:szCs w:val="20"/>
          <w:color w:val="auto"/>
        </w:rPr>
      </w:pPr>
      <w:r>
        <w:rPr>
          <w:rFonts w:ascii="Arial" w:cs="Arial" w:eastAsia="Arial" w:hAnsi="Arial"/>
          <w:sz w:val="18"/>
          <w:szCs w:val="18"/>
          <w:color w:val="auto"/>
        </w:rPr>
        <w:t>cash and cash equivalents, total stockholders’ equity (deficit) and total capitalization by $ million, assuming no change in the assumed initial public offering price per share and after deducting estimated underwriting discounts and commissions and estimated offering expenses payable by us.</w:t>
      </w:r>
    </w:p>
    <w:p>
      <w:pPr>
        <w:spacing w:after="0" w:line="112"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You should read the information in this table together with our consolidated financial statements and the related notes included elsewhere in this prospectus and “Management’s Discussion and Analysis of Financial Condition and Results of Operations” section of this prospectus.</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number of shares of our common stock outstanding after this offering assumes the Reorganization takes place prior to the completion</w:t>
      </w:r>
    </w:p>
    <w:p>
      <w:pPr>
        <w:spacing w:after="0" w:line="14" w:lineRule="exact"/>
        <w:rPr>
          <w:sz w:val="20"/>
          <w:szCs w:val="20"/>
          <w:color w:val="auto"/>
        </w:rPr>
      </w:pPr>
    </w:p>
    <w:p>
      <w:pPr>
        <w:ind w:left="120" w:right="180"/>
        <w:spacing w:after="0" w:line="234" w:lineRule="auto"/>
        <w:rPr>
          <w:sz w:val="20"/>
          <w:szCs w:val="20"/>
          <w:color w:val="auto"/>
        </w:rPr>
      </w:pPr>
      <w:r>
        <w:rPr>
          <w:rFonts w:ascii="Arial" w:cs="Arial" w:eastAsia="Arial" w:hAnsi="Arial"/>
          <w:sz w:val="18"/>
          <w:szCs w:val="18"/>
          <w:color w:val="auto"/>
        </w:rPr>
        <w:t>of this offering and is based on shares of our common stock (including shares of unvested restricted common stock) issued in exchange for common units and profits interests outstanding as of March 31, 2023, and after giving effect to the conversion of</w:t>
      </w:r>
    </w:p>
    <w:p>
      <w:pPr>
        <w:spacing w:after="0" w:line="1" w:lineRule="exact"/>
        <w:rPr>
          <w:sz w:val="20"/>
          <w:szCs w:val="20"/>
          <w:color w:val="auto"/>
        </w:rPr>
      </w:pPr>
    </w:p>
    <w:p>
      <w:pPr>
        <w:ind w:left="120" w:right="380" w:firstLine="800"/>
        <w:spacing w:after="0" w:line="242" w:lineRule="auto"/>
        <w:rPr>
          <w:sz w:val="20"/>
          <w:szCs w:val="20"/>
          <w:color w:val="auto"/>
        </w:rPr>
      </w:pPr>
      <w:r>
        <w:rPr>
          <w:rFonts w:ascii="Arial" w:cs="Arial" w:eastAsia="Arial" w:hAnsi="Arial"/>
          <w:sz w:val="18"/>
          <w:szCs w:val="18"/>
          <w:color w:val="auto"/>
        </w:rPr>
        <w:t>shares of our convertible preferred stock issued in exchange for redeemable convertible preferred units outstanding as of March 31, 2023 into an equivalent number of shares of our common stock, which will occur immediately prior to the completion of this offering, and excludes:</w:t>
      </w:r>
    </w:p>
    <w:p>
      <w:pPr>
        <w:spacing w:after="0" w:line="112" w:lineRule="exact"/>
        <w:rPr>
          <w:sz w:val="20"/>
          <w:szCs w:val="20"/>
          <w:color w:val="auto"/>
        </w:rPr>
      </w:pPr>
    </w:p>
    <w:p>
      <w:pPr>
        <w:ind w:left="340" w:right="360" w:hanging="224"/>
        <w:spacing w:after="0" w:line="301" w:lineRule="auto"/>
        <w:tabs>
          <w:tab w:leader="none" w:pos="119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2023 Stock Option and Incentive Plan (the “2023 Plan”), which will become effective on the date immediately prior to execution of the underwriting agreement related to this offering; and</w:t>
      </w:r>
    </w:p>
    <w:p>
      <w:pPr>
        <w:spacing w:after="0" w:line="63" w:lineRule="exact"/>
        <w:rPr>
          <w:rFonts w:ascii="Arial" w:cs="Arial" w:eastAsia="Arial" w:hAnsi="Arial"/>
          <w:sz w:val="17"/>
          <w:szCs w:val="17"/>
          <w:color w:val="auto"/>
        </w:rPr>
      </w:pPr>
    </w:p>
    <w:p>
      <w:pPr>
        <w:ind w:left="340" w:right="220" w:hanging="224"/>
        <w:spacing w:after="0" w:line="271" w:lineRule="auto"/>
        <w:tabs>
          <w:tab w:leader="none" w:pos="11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2023 Employee Stock Purchase Plan (the “ESPP”), which will become effective on the date immediately prior to the execution of the underwriting agreement related to this offering.</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5"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DILUTION</w:t>
      </w:r>
    </w:p>
    <w:p>
      <w:pPr>
        <w:spacing w:after="0" w:line="168"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01" w:lineRule="exact"/>
        <w:rPr>
          <w:sz w:val="20"/>
          <w:szCs w:val="20"/>
          <w:color w:val="auto"/>
        </w:rPr>
      </w:pPr>
    </w:p>
    <w:p>
      <w:pPr>
        <w:ind w:left="120" w:right="140"/>
        <w:spacing w:after="0" w:line="241" w:lineRule="auto"/>
        <w:rPr>
          <w:sz w:val="20"/>
          <w:szCs w:val="20"/>
          <w:color w:val="auto"/>
        </w:rPr>
      </w:pPr>
      <w:r>
        <w:rPr>
          <w:rFonts w:ascii="Arial" w:cs="Arial" w:eastAsia="Arial" w:hAnsi="Arial"/>
          <w:sz w:val="18"/>
          <w:szCs w:val="18"/>
          <w:color w:val="auto"/>
        </w:rPr>
        <w:t>Our historical net tangible book (deficit) as of March 31, 2023 was $ million, or $ per our common unit. Our historical net tangible book (deficit) is the amount of our total tangible assets less our total liabilities and the carrying values of our redeemable convertible preferred units, which is not included within members’ deficit. Our historical net tangible book (deficit) per unit represents historical net</w:t>
      </w:r>
    </w:p>
    <w:p>
      <w:pPr>
        <w:spacing w:after="0" w:line="2" w:lineRule="exact"/>
        <w:rPr>
          <w:sz w:val="20"/>
          <w:szCs w:val="20"/>
          <w:color w:val="auto"/>
        </w:rPr>
      </w:pPr>
    </w:p>
    <w:p>
      <w:pPr>
        <w:ind w:left="120"/>
        <w:spacing w:after="0"/>
        <w:tabs>
          <w:tab w:leader="none" w:pos="3560" w:val="left"/>
        </w:tabs>
        <w:rPr>
          <w:sz w:val="20"/>
          <w:szCs w:val="20"/>
          <w:color w:val="auto"/>
        </w:rPr>
      </w:pPr>
      <w:r>
        <w:rPr>
          <w:rFonts w:ascii="Arial" w:cs="Arial" w:eastAsia="Arial" w:hAnsi="Arial"/>
          <w:sz w:val="18"/>
          <w:szCs w:val="18"/>
          <w:color w:val="auto"/>
        </w:rPr>
        <w:t>tangible book (deficit) divided by</w:t>
      </w:r>
      <w:r>
        <w:rPr>
          <w:sz w:val="20"/>
          <w:szCs w:val="20"/>
          <w:color w:val="auto"/>
        </w:rPr>
        <w:tab/>
      </w:r>
      <w:r>
        <w:rPr>
          <w:rFonts w:ascii="Arial" w:cs="Arial" w:eastAsia="Arial" w:hAnsi="Arial"/>
          <w:sz w:val="17"/>
          <w:szCs w:val="17"/>
          <w:color w:val="auto"/>
        </w:rPr>
        <w:t>of our common units outstanding as of March 31, 2023.</w:t>
      </w:r>
    </w:p>
    <w:p>
      <w:pPr>
        <w:spacing w:after="0" w:line="113" w:lineRule="exact"/>
        <w:rPr>
          <w:sz w:val="20"/>
          <w:szCs w:val="20"/>
          <w:color w:val="auto"/>
        </w:rPr>
      </w:pPr>
    </w:p>
    <w:p>
      <w:pPr>
        <w:ind w:left="120"/>
        <w:spacing w:after="0"/>
        <w:tabs>
          <w:tab w:leader="none" w:pos="5780" w:val="left"/>
          <w:tab w:leader="none" w:pos="6580" w:val="left"/>
        </w:tabs>
        <w:rPr>
          <w:sz w:val="20"/>
          <w:szCs w:val="20"/>
          <w:color w:val="auto"/>
        </w:rPr>
      </w:pPr>
      <w:r>
        <w:rPr>
          <w:rFonts w:ascii="Arial" w:cs="Arial" w:eastAsia="Arial" w:hAnsi="Arial"/>
          <w:sz w:val="18"/>
          <w:szCs w:val="18"/>
          <w:color w:val="auto"/>
        </w:rPr>
        <w:t>Our pro forma net tangible book value as of March 31, 2023 was $</w:t>
      </w:r>
      <w:r>
        <w:rPr>
          <w:sz w:val="20"/>
          <w:szCs w:val="20"/>
          <w:color w:val="auto"/>
        </w:rPr>
        <w:tab/>
      </w:r>
      <w:r>
        <w:rPr>
          <w:rFonts w:ascii="Arial" w:cs="Arial" w:eastAsia="Arial" w:hAnsi="Arial"/>
          <w:sz w:val="18"/>
          <w:szCs w:val="18"/>
          <w:color w:val="auto"/>
        </w:rPr>
        <w:t>, or $</w:t>
      </w:r>
      <w:r>
        <w:rPr>
          <w:sz w:val="20"/>
          <w:szCs w:val="20"/>
          <w:color w:val="auto"/>
        </w:rPr>
        <w:tab/>
      </w:r>
      <w:r>
        <w:rPr>
          <w:rFonts w:ascii="Arial" w:cs="Arial" w:eastAsia="Arial" w:hAnsi="Arial"/>
          <w:sz w:val="18"/>
          <w:szCs w:val="18"/>
          <w:color w:val="auto"/>
        </w:rPr>
        <w:t>per share of our common stock. Pro forma net tangible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book value represents the amount of our total tangible assets less our total liabilities, after giving effect to (i) the Reorganization, (ii) the</w:t>
      </w:r>
    </w:p>
    <w:p>
      <w:pPr>
        <w:ind w:left="120" w:right="20"/>
        <w:spacing w:after="0" w:line="239" w:lineRule="auto"/>
        <w:rPr>
          <w:sz w:val="20"/>
          <w:szCs w:val="20"/>
          <w:color w:val="auto"/>
        </w:rPr>
      </w:pPr>
      <w:r>
        <w:rPr>
          <w:rFonts w:ascii="Arial" w:cs="Arial" w:eastAsia="Arial" w:hAnsi="Arial"/>
          <w:sz w:val="18"/>
          <w:szCs w:val="18"/>
          <w:color w:val="auto"/>
        </w:rPr>
        <w:t>conversion of shares of our convertible preferred stock outstanding as of March 31, 2023 into an equivalent number of shares of our common stock, which will occur immediately prior to the completion of this offering, and (iii) the filing and effectiveness of our amended and restated certificate of incorporation immediately prior to the completion of this offering. Pro forma net tangible book value per share represents pro forma net tangible book value divided by the total number of shares outstanding as of March 31, 2023, after giving effect to the pro forma adjustments described above.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After giving further effect to our issuance and sale of shares of our common stock in this offering at an assumed initial public offering price</w:t>
      </w:r>
    </w:p>
    <w:p>
      <w:pPr>
        <w:spacing w:after="0" w:line="14" w:lineRule="exact"/>
        <w:rPr>
          <w:sz w:val="20"/>
          <w:szCs w:val="20"/>
          <w:color w:val="auto"/>
        </w:rPr>
      </w:pPr>
    </w:p>
    <w:p>
      <w:pPr>
        <w:ind w:left="120" w:right="80"/>
        <w:spacing w:after="0" w:line="234" w:lineRule="auto"/>
        <w:rPr>
          <w:sz w:val="20"/>
          <w:szCs w:val="20"/>
          <w:color w:val="auto"/>
        </w:rPr>
      </w:pPr>
      <w:r>
        <w:rPr>
          <w:rFonts w:ascii="Arial" w:cs="Arial" w:eastAsia="Arial" w:hAnsi="Arial"/>
          <w:sz w:val="18"/>
          <w:szCs w:val="18"/>
          <w:color w:val="auto"/>
        </w:rPr>
        <w:t>of $ per share, the estimated midpoint of the price range set forth on the cover page of this prospectus, and after deducting estimated underwriting discounts and commissions and estimated offering expenses payable by us, our pro forma as adjusted net tangible book</w:t>
      </w:r>
    </w:p>
    <w:p>
      <w:pPr>
        <w:ind w:left="120"/>
        <w:spacing w:after="0" w:line="236" w:lineRule="auto"/>
        <w:tabs>
          <w:tab w:leader="none" w:pos="4220" w:val="left"/>
          <w:tab w:leader="none" w:pos="5540" w:val="left"/>
        </w:tabs>
        <w:rPr>
          <w:sz w:val="20"/>
          <w:szCs w:val="20"/>
          <w:color w:val="auto"/>
        </w:rPr>
      </w:pPr>
      <w:r>
        <w:rPr>
          <w:rFonts w:ascii="Arial" w:cs="Arial" w:eastAsia="Arial" w:hAnsi="Arial"/>
          <w:sz w:val="18"/>
          <w:szCs w:val="18"/>
          <w:color w:val="auto"/>
        </w:rPr>
        <w:t>value as of March 31, 2023 would have been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8"/>
          <w:szCs w:val="18"/>
          <w:color w:val="auto"/>
        </w:rPr>
        <w:t>per share. This amount represents an immediate increase in pro</w:t>
      </w:r>
    </w:p>
    <w:p>
      <w:pPr>
        <w:ind w:left="120"/>
        <w:spacing w:after="0"/>
        <w:tabs>
          <w:tab w:leader="none" w:pos="4220" w:val="left"/>
        </w:tabs>
        <w:rPr>
          <w:sz w:val="20"/>
          <w:szCs w:val="20"/>
          <w:color w:val="auto"/>
        </w:rPr>
      </w:pPr>
      <w:r>
        <w:rPr>
          <w:rFonts w:ascii="Arial" w:cs="Arial" w:eastAsia="Arial" w:hAnsi="Arial"/>
          <w:sz w:val="18"/>
          <w:szCs w:val="18"/>
          <w:color w:val="auto"/>
        </w:rPr>
        <w:t>forma as adjusted net tangible book value of $</w:t>
      </w:r>
      <w:r>
        <w:rPr>
          <w:sz w:val="20"/>
          <w:szCs w:val="20"/>
          <w:color w:val="auto"/>
        </w:rPr>
        <w:tab/>
      </w:r>
      <w:r>
        <w:rPr>
          <w:rFonts w:ascii="Arial" w:cs="Arial" w:eastAsia="Arial" w:hAnsi="Arial"/>
          <w:sz w:val="17"/>
          <w:szCs w:val="17"/>
          <w:color w:val="auto"/>
        </w:rPr>
        <w:t>per share to our existing stockholders and immediate dilution in pro forma as adjusted</w:t>
      </w:r>
    </w:p>
    <w:p>
      <w:pPr>
        <w:ind w:left="120"/>
        <w:spacing w:after="0"/>
        <w:tabs>
          <w:tab w:leader="none" w:pos="2740" w:val="left"/>
        </w:tabs>
        <w:rPr>
          <w:sz w:val="20"/>
          <w:szCs w:val="20"/>
          <w:color w:val="auto"/>
        </w:rPr>
      </w:pPr>
      <w:r>
        <w:rPr>
          <w:rFonts w:ascii="Arial" w:cs="Arial" w:eastAsia="Arial" w:hAnsi="Arial"/>
          <w:sz w:val="18"/>
          <w:szCs w:val="18"/>
          <w:color w:val="auto"/>
        </w:rPr>
        <w:t>net tangible book value of $</w:t>
      </w:r>
      <w:r>
        <w:rPr>
          <w:sz w:val="20"/>
          <w:szCs w:val="20"/>
          <w:color w:val="auto"/>
        </w:rPr>
        <w:tab/>
      </w:r>
      <w:r>
        <w:rPr>
          <w:rFonts w:ascii="Arial" w:cs="Arial" w:eastAsia="Arial" w:hAnsi="Arial"/>
          <w:sz w:val="18"/>
          <w:szCs w:val="18"/>
          <w:color w:val="auto"/>
        </w:rPr>
        <w:t>per share to new investors purchasing common stock in this offering.</w:t>
      </w:r>
    </w:p>
    <w:p>
      <w:pPr>
        <w:spacing w:after="0" w:line="126"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on a per share basis (without giving effect to any exercise by the underwriters of their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480" w:type="dxa"/>
            <w:vAlign w:val="bottom"/>
          </w:tcPr>
          <w:p>
            <w:pPr>
              <w:spacing w:after="0"/>
              <w:rPr>
                <w:sz w:val="20"/>
                <w:szCs w:val="20"/>
                <w:color w:val="auto"/>
              </w:rPr>
            </w:pPr>
            <w:r>
              <w:rPr>
                <w:rFonts w:ascii="Arial" w:cs="Arial" w:eastAsia="Arial" w:hAnsi="Arial"/>
                <w:sz w:val="16"/>
                <w:szCs w:val="16"/>
                <w:b w:val="1"/>
                <w:bCs w:val="1"/>
                <w:color w:val="auto"/>
              </w:rPr>
              <w:t>Assumed initial public offering price per share</w:t>
            </w:r>
          </w:p>
        </w:tc>
        <w:tc>
          <w:tcPr>
            <w:tcW w:w="2480" w:type="dxa"/>
            <w:vAlign w:val="bottom"/>
            <w:gridSpan w:val="4"/>
          </w:tcPr>
          <w:p>
            <w:pPr>
              <w:jc w:val="right"/>
              <w:ind w:right="72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7"/>
                <w:szCs w:val="17"/>
                <w:color w:val="auto"/>
              </w:rPr>
            </w:pPr>
          </w:p>
        </w:tc>
      </w:tr>
      <w:tr>
        <w:trPr>
          <w:trHeight w:val="210"/>
        </w:trPr>
        <w:tc>
          <w:tcPr>
            <w:tcW w:w="8480" w:type="dxa"/>
            <w:vAlign w:val="bottom"/>
          </w:tcPr>
          <w:p>
            <w:pPr>
              <w:ind w:left="360"/>
              <w:spacing w:after="0"/>
              <w:rPr>
                <w:sz w:val="20"/>
                <w:szCs w:val="20"/>
                <w:color w:val="auto"/>
              </w:rPr>
            </w:pPr>
            <w:r>
              <w:rPr>
                <w:rFonts w:ascii="Arial" w:cs="Arial" w:eastAsia="Arial" w:hAnsi="Arial"/>
                <w:sz w:val="18"/>
                <w:szCs w:val="18"/>
                <w:color w:val="auto"/>
              </w:rPr>
              <w:t>Historical net tangible book value (deficit) per common unit as of March 31, 2023</w:t>
            </w:r>
          </w:p>
        </w:tc>
        <w:tc>
          <w:tcPr>
            <w:tcW w:w="124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Increase per share attributable to the pro forma adjustments described above</w:t>
            </w:r>
          </w:p>
        </w:tc>
        <w:tc>
          <w:tcPr>
            <w:tcW w:w="1240" w:type="dxa"/>
            <w:vAlign w:val="bottom"/>
            <w:gridSpan w:val="2"/>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848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March 31, 2023</w:t>
            </w:r>
          </w:p>
        </w:tc>
        <w:tc>
          <w:tcPr>
            <w:tcW w:w="460" w:type="dxa"/>
            <w:vAlign w:val="bottom"/>
          </w:tcPr>
          <w:p>
            <w:pPr>
              <w:spacing w:after="0"/>
              <w:rPr>
                <w:sz w:val="18"/>
                <w:szCs w:val="18"/>
                <w:color w:val="auto"/>
              </w:rPr>
            </w:pPr>
          </w:p>
        </w:tc>
        <w:tc>
          <w:tcPr>
            <w:tcW w:w="78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4"/>
        </w:trPr>
        <w:tc>
          <w:tcPr>
            <w:tcW w:w="8480" w:type="dxa"/>
            <w:vAlign w:val="bottom"/>
            <w:shd w:val="clear" w:color="auto" w:fill="CCEEFF"/>
          </w:tcPr>
          <w:p>
            <w:pPr>
              <w:ind w:left="360"/>
              <w:spacing w:after="0" w:line="183" w:lineRule="exact"/>
              <w:rPr>
                <w:sz w:val="20"/>
                <w:szCs w:val="20"/>
                <w:color w:val="auto"/>
              </w:rPr>
            </w:pPr>
            <w:r>
              <w:rPr>
                <w:rFonts w:ascii="Arial" w:cs="Arial" w:eastAsia="Arial" w:hAnsi="Arial"/>
                <w:sz w:val="18"/>
                <w:szCs w:val="18"/>
                <w:color w:val="auto"/>
              </w:rPr>
              <w:t>Increase in pro forma as adjusted net tangible book value per share attributable to new investors</w:t>
            </w: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1"/>
        </w:trPr>
        <w:tc>
          <w:tcPr>
            <w:tcW w:w="8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participating in this offering</w:t>
            </w:r>
          </w:p>
        </w:tc>
        <w:tc>
          <w:tcPr>
            <w:tcW w:w="4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84"/>
        </w:trPr>
        <w:tc>
          <w:tcPr>
            <w:tcW w:w="848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4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participating in this offering</w:t>
            </w:r>
          </w:p>
        </w:tc>
        <w:tc>
          <w:tcPr>
            <w:tcW w:w="2480" w:type="dxa"/>
            <w:vAlign w:val="bottom"/>
            <w:gridSpan w:val="4"/>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8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-8255</wp:posOffset>
            </wp:positionV>
            <wp:extent cx="342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dilution information discussed above is illustrative only and will change based on the actual initial public offering price and other terms</w:t>
      </w:r>
    </w:p>
    <w:p>
      <w:pPr>
        <w:spacing w:after="0" w:line="14" w:lineRule="exact"/>
        <w:rPr>
          <w:sz w:val="20"/>
          <w:szCs w:val="20"/>
          <w:color w:val="auto"/>
        </w:rPr>
      </w:pPr>
    </w:p>
    <w:p>
      <w:pPr>
        <w:ind w:left="120" w:right="100"/>
        <w:spacing w:after="0" w:line="250" w:lineRule="auto"/>
        <w:rPr>
          <w:sz w:val="20"/>
          <w:szCs w:val="20"/>
          <w:color w:val="auto"/>
        </w:rPr>
      </w:pPr>
      <w:r>
        <w:rPr>
          <w:rFonts w:ascii="Arial" w:cs="Arial" w:eastAsia="Arial" w:hAnsi="Arial"/>
          <w:sz w:val="18"/>
          <w:szCs w:val="18"/>
          <w:color w:val="auto"/>
        </w:rPr>
        <w:t>of this offering determined at pricing. Each $1.00 increase (decrease) in the assumed initial public offering price of $ per share, which is the estimated midpoint of the price range set forth on the cover page of this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5" w:right="4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47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501"/>
        </w:trPr>
        <w:tc>
          <w:tcPr>
            <w:tcW w:w="10000" w:type="dxa"/>
            <w:vAlign w:val="bottom"/>
            <w:gridSpan w:val="3"/>
          </w:tcPr>
          <w:p>
            <w:pPr>
              <w:ind w:left="120"/>
              <w:spacing w:after="0"/>
              <w:rPr>
                <w:sz w:val="20"/>
                <w:szCs w:val="20"/>
                <w:color w:val="auto"/>
              </w:rPr>
            </w:pPr>
            <w:r>
              <w:rPr>
                <w:rFonts w:ascii="Arial" w:cs="Arial" w:eastAsia="Arial" w:hAnsi="Arial"/>
                <w:sz w:val="18"/>
                <w:szCs w:val="18"/>
                <w:color w:val="auto"/>
              </w:rPr>
              <w:t>prospectus, would increase (decrease) our pro forma as adjusted net tangible book value per share after this offering by $</w:t>
            </w:r>
          </w:p>
        </w:tc>
        <w:tc>
          <w:tcPr>
            <w:tcW w:w="1120" w:type="dxa"/>
            <w:vAlign w:val="bottom"/>
          </w:tcPr>
          <w:p>
            <w:pPr>
              <w:ind w:left="200"/>
              <w:spacing w:after="0"/>
              <w:rPr>
                <w:sz w:val="20"/>
                <w:szCs w:val="20"/>
                <w:color w:val="auto"/>
              </w:rPr>
            </w:pPr>
            <w:r>
              <w:rPr>
                <w:rFonts w:ascii="Arial" w:cs="Arial" w:eastAsia="Arial" w:hAnsi="Arial"/>
                <w:sz w:val="18"/>
                <w:szCs w:val="18"/>
                <w:color w:val="auto"/>
                <w:w w:val="97"/>
              </w:rPr>
              <w:t>and dilution</w:t>
            </w:r>
          </w:p>
        </w:tc>
      </w:tr>
      <w:tr>
        <w:trPr>
          <w:trHeight w:val="221"/>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per share to new investors purchasing common stock in this offering by $</w:t>
            </w:r>
          </w:p>
        </w:tc>
        <w:tc>
          <w:tcPr>
            <w:tcW w:w="5000" w:type="dxa"/>
            <w:vAlign w:val="bottom"/>
            <w:gridSpan w:val="2"/>
          </w:tcPr>
          <w:p>
            <w:pPr>
              <w:ind w:left="200"/>
              <w:spacing w:after="0"/>
              <w:rPr>
                <w:sz w:val="20"/>
                <w:szCs w:val="20"/>
                <w:color w:val="auto"/>
              </w:rPr>
            </w:pPr>
            <w:r>
              <w:rPr>
                <w:rFonts w:ascii="Arial" w:cs="Arial" w:eastAsia="Arial" w:hAnsi="Arial"/>
                <w:sz w:val="18"/>
                <w:szCs w:val="18"/>
                <w:color w:val="auto"/>
              </w:rPr>
              <w:t>, assuming that the number of shares offered by us, as set</w:t>
            </w:r>
          </w:p>
        </w:tc>
      </w:tr>
    </w:tbl>
    <w:p>
      <w:pPr>
        <w:ind w:left="120" w:right="140"/>
        <w:spacing w:after="0" w:line="24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forth on the cover page of this prospectus, remains the same and after deducting estimated underwriting discounts and commissions and estimated offering expenses payable by us. Each increase of 1,000,000 shares in the number of shares offered by us, as set forth on the</w:t>
      </w:r>
    </w:p>
    <w:p>
      <w:pPr>
        <w:spacing w:after="0" w:line="1" w:lineRule="exact"/>
        <w:rPr>
          <w:sz w:val="20"/>
          <w:szCs w:val="20"/>
          <w:color w:val="auto"/>
        </w:rPr>
      </w:pPr>
    </w:p>
    <w:p>
      <w:pPr>
        <w:ind w:left="120" w:right="80"/>
        <w:spacing w:after="0" w:line="234" w:lineRule="auto"/>
        <w:rPr>
          <w:sz w:val="20"/>
          <w:szCs w:val="20"/>
          <w:color w:val="auto"/>
        </w:rPr>
      </w:pPr>
      <w:r>
        <w:rPr>
          <w:rFonts w:ascii="Arial" w:cs="Arial" w:eastAsia="Arial" w:hAnsi="Arial"/>
          <w:sz w:val="18"/>
          <w:szCs w:val="18"/>
          <w:color w:val="auto"/>
        </w:rPr>
        <w:t>cover page of this prospectus, would increase our pro forma as adjusted net tangible book value per share after this offering by $ and decrease dilution per share to new investors purchasing common stock in this offering by $ , assuming no change in the assumed initial public offering price per share and after deducting estimated underwriting discounts and commissions and estimated offering expenses payable by us. Each decrease of 1,000,000 shares in the number of shares offered by us, as set forth on the cover page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right="140"/>
        <w:spacing w:after="0" w:line="245" w:lineRule="auto"/>
        <w:rPr>
          <w:sz w:val="20"/>
          <w:szCs w:val="20"/>
          <w:color w:val="auto"/>
        </w:rPr>
      </w:pPr>
      <w:r>
        <w:rPr>
          <w:rFonts w:ascii="Arial" w:cs="Arial" w:eastAsia="Arial" w:hAnsi="Arial"/>
          <w:sz w:val="18"/>
          <w:szCs w:val="18"/>
          <w:color w:val="auto"/>
        </w:rPr>
        <w:t>prospectus, would decrease our pro forma as adjusted net tangible book value per share after this offering by $ and increase dilution per share to new investors purchasing common stock in this offering by $ , assuming no change in the assumed initial public offering</w:t>
      </w:r>
    </w:p>
    <w:p>
      <w:pPr>
        <w:ind w:left="120"/>
        <w:spacing w:after="0"/>
        <w:rPr>
          <w:sz w:val="20"/>
          <w:szCs w:val="20"/>
          <w:color w:val="auto"/>
        </w:rPr>
      </w:pPr>
      <w:r>
        <w:rPr>
          <w:rFonts w:ascii="Arial" w:cs="Arial" w:eastAsia="Arial" w:hAnsi="Arial"/>
          <w:sz w:val="18"/>
          <w:szCs w:val="18"/>
          <w:color w:val="auto"/>
        </w:rPr>
        <w:t>price and after deducting estimated underwriting discounts and commissions and estimated offering expenses payable by us.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the underwriters exercise their option to purchase additional shares in full, our pro forma as adjusted net tangible book value per share</w:t>
      </w:r>
    </w:p>
    <w:p>
      <w:pPr>
        <w:spacing w:after="0" w:line="9" w:lineRule="exact"/>
        <w:rPr>
          <w:sz w:val="20"/>
          <w:szCs w:val="20"/>
          <w:color w:val="auto"/>
        </w:rPr>
      </w:pPr>
    </w:p>
    <w:p>
      <w:pPr>
        <w:ind w:left="120"/>
        <w:spacing w:after="0"/>
        <w:tabs>
          <w:tab w:leader="none" w:pos="2760" w:val="left"/>
        </w:tabs>
        <w:rPr>
          <w:sz w:val="20"/>
          <w:szCs w:val="20"/>
          <w:color w:val="auto"/>
        </w:rPr>
      </w:pPr>
      <w:r>
        <w:rPr>
          <w:rFonts w:ascii="Arial" w:cs="Arial" w:eastAsia="Arial" w:hAnsi="Arial"/>
          <w:sz w:val="18"/>
          <w:szCs w:val="18"/>
          <w:color w:val="auto"/>
        </w:rPr>
        <w:t>after this offering would be $</w:t>
      </w:r>
      <w:r>
        <w:rPr>
          <w:sz w:val="20"/>
          <w:szCs w:val="20"/>
          <w:color w:val="auto"/>
        </w:rPr>
        <w:tab/>
      </w:r>
      <w:r>
        <w:rPr>
          <w:rFonts w:ascii="Arial" w:cs="Arial" w:eastAsia="Arial" w:hAnsi="Arial"/>
          <w:sz w:val="17"/>
          <w:szCs w:val="17"/>
          <w:color w:val="auto"/>
        </w:rPr>
        <w:t>, representing an immediate increase in pro forma as adjusted net tangible book value per share of</w:t>
      </w:r>
    </w:p>
    <w:p>
      <w:pPr>
        <w:ind w:left="120"/>
        <w:spacing w:after="0"/>
        <w:tabs>
          <w:tab w:leader="none" w:pos="600" w:val="left"/>
          <w:tab w:leader="none" w:pos="9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to existing stockholders and immediate dilution in pro forma as adjusted net tangible book value per share of $</w:t>
      </w:r>
      <w:r>
        <w:rPr>
          <w:sz w:val="20"/>
          <w:szCs w:val="20"/>
          <w:color w:val="auto"/>
        </w:rPr>
        <w:tab/>
      </w:r>
      <w:r>
        <w:rPr>
          <w:rFonts w:ascii="Arial" w:cs="Arial" w:eastAsia="Arial" w:hAnsi="Arial"/>
          <w:sz w:val="17"/>
          <w:szCs w:val="17"/>
          <w:color w:val="auto"/>
        </w:rPr>
        <w:t>to new investors</w:t>
      </w:r>
    </w:p>
    <w:p>
      <w:pPr>
        <w:ind w:left="120"/>
        <w:spacing w:after="0"/>
        <w:tabs>
          <w:tab w:leader="none" w:pos="8100" w:val="left"/>
        </w:tabs>
        <w:rPr>
          <w:sz w:val="20"/>
          <w:szCs w:val="20"/>
          <w:color w:val="auto"/>
        </w:rPr>
      </w:pPr>
      <w:r>
        <w:rPr>
          <w:rFonts w:ascii="Arial" w:cs="Arial" w:eastAsia="Arial" w:hAnsi="Arial"/>
          <w:sz w:val="18"/>
          <w:szCs w:val="18"/>
          <w:color w:val="auto"/>
        </w:rPr>
        <w:t>purchasing common stock in this offering, based on the assumed initial public offering price of $</w:t>
      </w:r>
      <w:r>
        <w:rPr>
          <w:sz w:val="20"/>
          <w:szCs w:val="20"/>
          <w:color w:val="auto"/>
        </w:rPr>
        <w:tab/>
      </w:r>
      <w:r>
        <w:rPr>
          <w:rFonts w:ascii="Arial" w:cs="Arial" w:eastAsia="Arial" w:hAnsi="Arial"/>
          <w:sz w:val="17"/>
          <w:szCs w:val="17"/>
          <w:color w:val="auto"/>
        </w:rPr>
        <w:t>per share and after deducting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estimated underwriting discounts and commissions and estimated offering expenses payable by us.</w:t>
      </w:r>
    </w:p>
    <w:p>
      <w:pPr>
        <w:spacing w:after="0" w:line="126" w:lineRule="exact"/>
        <w:rPr>
          <w:sz w:val="20"/>
          <w:szCs w:val="20"/>
          <w:color w:val="auto"/>
        </w:rPr>
      </w:pPr>
    </w:p>
    <w:p>
      <w:pPr>
        <w:ind w:left="120" w:right="120"/>
        <w:spacing w:after="0" w:line="255" w:lineRule="auto"/>
        <w:rPr>
          <w:sz w:val="20"/>
          <w:szCs w:val="20"/>
          <w:color w:val="auto"/>
        </w:rPr>
      </w:pPr>
      <w:r>
        <w:rPr>
          <w:rFonts w:ascii="Arial" w:cs="Arial" w:eastAsia="Arial" w:hAnsi="Arial"/>
          <w:sz w:val="17"/>
          <w:szCs w:val="17"/>
          <w:color w:val="auto"/>
        </w:rPr>
        <w:t>The following table summarizes on the pro forma as adjusted basis described above, the total number of shares of common stock purchased from us on an as converted to common stock basis, the total consideration paid or to be paid, and the average price per share paid or to be paid by existing members/stockholders and by new investors in this offering at an assumed initial public offering price of</w:t>
      </w:r>
    </w:p>
    <w:p>
      <w:pPr>
        <w:spacing w:after="0" w:line="2" w:lineRule="exact"/>
        <w:rPr>
          <w:sz w:val="20"/>
          <w:szCs w:val="20"/>
          <w:color w:val="auto"/>
        </w:rPr>
      </w:pPr>
    </w:p>
    <w:p>
      <w:pPr>
        <w:ind w:left="120" w:right="60" w:hanging="4"/>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 share, which is the estimated midpoint of the estimated price range set forth on the cover of this prospectus, before deducting estimated underwriting discounts and commissions and estimated offering expenses payable by us. As the table shows, new investors purchasing common stock in this offering will pay an average price per share substantially higher than our existing members/ stockholders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260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Units/Shares Purchased</w:t>
            </w:r>
          </w:p>
        </w:tc>
        <w:tc>
          <w:tcPr>
            <w:tcW w:w="100" w:type="dxa"/>
            <w:vAlign w:val="bottom"/>
          </w:tcPr>
          <w:p>
            <w:pPr>
              <w:spacing w:after="0"/>
              <w:rPr>
                <w:sz w:val="17"/>
                <w:szCs w:val="17"/>
                <w:color w:val="auto"/>
              </w:rPr>
            </w:pPr>
          </w:p>
        </w:tc>
        <w:tc>
          <w:tcPr>
            <w:tcW w:w="2000" w:type="dxa"/>
            <w:vAlign w:val="bottom"/>
            <w:gridSpan w:val="3"/>
          </w:tcPr>
          <w:p>
            <w:pPr>
              <w:ind w:left="80"/>
              <w:spacing w:after="0"/>
              <w:rPr>
                <w:sz w:val="20"/>
                <w:szCs w:val="20"/>
                <w:color w:val="auto"/>
              </w:rPr>
            </w:pPr>
            <w:r>
              <w:rPr>
                <w:rFonts w:ascii="Arial" w:cs="Arial" w:eastAsia="Arial" w:hAnsi="Arial"/>
                <w:sz w:val="16"/>
                <w:szCs w:val="16"/>
                <w:b w:val="1"/>
                <w:bCs w:val="1"/>
                <w:color w:val="auto"/>
              </w:rPr>
              <w:t>Total Consideration</w:t>
            </w:r>
          </w:p>
        </w:tc>
        <w:tc>
          <w:tcPr>
            <w:tcW w:w="1420" w:type="dxa"/>
            <w:vAlign w:val="bottom"/>
            <w:gridSpan w:val="2"/>
          </w:tcPr>
          <w:p>
            <w:pPr>
              <w:ind w:left="260"/>
              <w:spacing w:after="0"/>
              <w:rPr>
                <w:sz w:val="20"/>
                <w:szCs w:val="20"/>
                <w:color w:val="auto"/>
              </w:rPr>
            </w:pPr>
            <w:r>
              <w:rPr>
                <w:rFonts w:ascii="Arial" w:cs="Arial" w:eastAsia="Arial" w:hAnsi="Arial"/>
                <w:sz w:val="16"/>
                <w:szCs w:val="16"/>
                <w:b w:val="1"/>
                <w:bCs w:val="1"/>
                <w:color w:val="auto"/>
              </w:rPr>
              <w:t>Average Price</w:t>
            </w:r>
          </w:p>
        </w:tc>
      </w:tr>
      <w:tr>
        <w:trPr>
          <w:trHeight w:val="183"/>
        </w:trPr>
        <w:tc>
          <w:tcPr>
            <w:tcW w:w="4900" w:type="dxa"/>
            <w:vAlign w:val="bottom"/>
            <w:tcBorders>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ind w:left="100"/>
              <w:spacing w:after="0" w:line="183" w:lineRule="exact"/>
              <w:rPr>
                <w:sz w:val="20"/>
                <w:szCs w:val="20"/>
                <w:color w:val="auto"/>
              </w:rPr>
            </w:pPr>
            <w:r>
              <w:rPr>
                <w:rFonts w:ascii="Arial" w:cs="Arial" w:eastAsia="Arial" w:hAnsi="Arial"/>
                <w:sz w:val="16"/>
                <w:szCs w:val="16"/>
                <w:b w:val="1"/>
                <w:bCs w:val="1"/>
                <w:color w:val="auto"/>
              </w:rPr>
              <w:t>Number</w:t>
            </w:r>
          </w:p>
        </w:tc>
        <w:tc>
          <w:tcPr>
            <w:tcW w:w="1060" w:type="dxa"/>
            <w:vAlign w:val="bottom"/>
            <w:tcBorders>
              <w:top w:val="single" w:sz="8" w:color="auto"/>
              <w:bottom w:val="single" w:sz="8" w:color="auto"/>
            </w:tcBorders>
          </w:tcPr>
          <w:p>
            <w:pPr>
              <w:jc w:val="right"/>
              <w:ind w:right="35"/>
              <w:spacing w:after="0" w:line="183" w:lineRule="exact"/>
              <w:rPr>
                <w:sz w:val="20"/>
                <w:szCs w:val="20"/>
                <w:color w:val="auto"/>
              </w:rPr>
            </w:pPr>
            <w:r>
              <w:rPr>
                <w:rFonts w:ascii="Arial" w:cs="Arial" w:eastAsia="Arial" w:hAnsi="Arial"/>
                <w:sz w:val="16"/>
                <w:szCs w:val="16"/>
                <w:b w:val="1"/>
                <w:bCs w:val="1"/>
                <w:color w:val="auto"/>
              </w:rPr>
              <w:t>Percent</w:t>
            </w:r>
          </w:p>
        </w:tc>
        <w:tc>
          <w:tcPr>
            <w:tcW w:w="46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Amount</w:t>
            </w: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Percent</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240"/>
              <w:spacing w:after="0" w:line="183" w:lineRule="exact"/>
              <w:rPr>
                <w:sz w:val="20"/>
                <w:szCs w:val="20"/>
                <w:color w:val="auto"/>
              </w:rPr>
            </w:pPr>
            <w:r>
              <w:rPr>
                <w:rFonts w:ascii="Arial" w:cs="Arial" w:eastAsia="Arial" w:hAnsi="Arial"/>
                <w:sz w:val="16"/>
                <w:szCs w:val="16"/>
                <w:b w:val="1"/>
                <w:bCs w:val="1"/>
                <w:color w:val="auto"/>
              </w:rPr>
              <w:t>Per Unit/Share</w:t>
            </w:r>
          </w:p>
        </w:tc>
      </w:tr>
      <w:tr>
        <w:trPr>
          <w:trHeight w:val="196"/>
        </w:trPr>
        <w:tc>
          <w:tcPr>
            <w:tcW w:w="5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Existing members/stockholders</w:t>
            </w: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76"/>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0"/>
        </w:trPr>
        <w:tc>
          <w:tcPr>
            <w:tcW w:w="4900" w:type="dxa"/>
            <w:vAlign w:val="bottom"/>
          </w:tcPr>
          <w:p>
            <w:pPr>
              <w:spacing w:after="0" w:line="202" w:lineRule="exact"/>
              <w:rPr>
                <w:sz w:val="20"/>
                <w:szCs w:val="20"/>
                <w:color w:val="auto"/>
              </w:rPr>
            </w:pPr>
            <w:r>
              <w:rPr>
                <w:rFonts w:ascii="Arial" w:cs="Arial" w:eastAsia="Arial" w:hAnsi="Arial"/>
                <w:sz w:val="18"/>
                <w:szCs w:val="18"/>
                <w:color w:val="auto"/>
              </w:rPr>
              <w:t>Investors participating in this offering</w:t>
            </w:r>
          </w:p>
        </w:tc>
        <w:tc>
          <w:tcPr>
            <w:tcW w:w="10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9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100%</w:t>
            </w:r>
          </w:p>
        </w:tc>
        <w:tc>
          <w:tcPr>
            <w:tcW w:w="1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-7620</wp:posOffset>
            </wp:positionV>
            <wp:extent cx="342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96" w:lineRule="exact"/>
        <w:rPr>
          <w:sz w:val="20"/>
          <w:szCs w:val="20"/>
          <w:color w:val="auto"/>
        </w:rPr>
      </w:pPr>
    </w:p>
    <w:p>
      <w:pPr>
        <w:ind w:left="120" w:right="180"/>
        <w:spacing w:after="0" w:line="244" w:lineRule="auto"/>
        <w:rPr>
          <w:sz w:val="20"/>
          <w:szCs w:val="20"/>
          <w:color w:val="auto"/>
        </w:rPr>
      </w:pPr>
      <w:r>
        <w:rPr>
          <w:rFonts w:ascii="Arial" w:cs="Arial" w:eastAsia="Arial" w:hAnsi="Arial"/>
          <w:sz w:val="18"/>
          <w:szCs w:val="18"/>
          <w:color w:val="auto"/>
        </w:rPr>
        <w:t>The table above assumes no exercise of the underwriters’ option to purchase additional shares in this offering. If the underwriters’ option to purchase additional shares is exercised in full, the number of shares of our common stock held by existing stockholders would be reduced to percent of the total number of shares of our common stock outstanding after this offering, and the number of shares of common stock held by new investors purchasing common stock in this offering would be increased to percent of the total number of shares of our common stock outstanding after this offering.</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discussion and tables above assume the Reorganization takes place prior to the completion of this offering and are based</w:t>
      </w:r>
    </w:p>
    <w:p>
      <w:pPr>
        <w:spacing w:after="0" w:line="14" w:lineRule="exact"/>
        <w:rPr>
          <w:sz w:val="20"/>
          <w:szCs w:val="20"/>
          <w:color w:val="auto"/>
        </w:rPr>
      </w:pPr>
    </w:p>
    <w:p>
      <w:pPr>
        <w:ind w:left="120" w:right="220"/>
        <w:spacing w:after="0" w:line="234" w:lineRule="auto"/>
        <w:rPr>
          <w:sz w:val="20"/>
          <w:szCs w:val="20"/>
          <w:color w:val="auto"/>
        </w:rPr>
      </w:pPr>
      <w:r>
        <w:rPr>
          <w:rFonts w:ascii="Arial" w:cs="Arial" w:eastAsia="Arial" w:hAnsi="Arial"/>
          <w:sz w:val="18"/>
          <w:szCs w:val="18"/>
          <w:color w:val="auto"/>
        </w:rPr>
        <w:t>on shares of our common stock (including shares of unvested restricted common stock) issued in exchange for common units and profits interests outstanding as of March 31, 2023, and after giving effect to the conversion of shares of our</w:t>
      </w:r>
    </w:p>
    <w:p>
      <w:pPr>
        <w:spacing w:after="0" w:line="1" w:lineRule="exact"/>
        <w:rPr>
          <w:sz w:val="20"/>
          <w:szCs w:val="20"/>
          <w:color w:val="auto"/>
        </w:rPr>
      </w:pPr>
    </w:p>
    <w:p>
      <w:pPr>
        <w:ind w:left="120" w:right="460"/>
        <w:spacing w:after="0" w:line="279" w:lineRule="auto"/>
        <w:rPr>
          <w:sz w:val="20"/>
          <w:szCs w:val="20"/>
          <w:color w:val="auto"/>
        </w:rPr>
      </w:pPr>
      <w:r>
        <w:rPr>
          <w:rFonts w:ascii="Arial" w:cs="Arial" w:eastAsia="Arial" w:hAnsi="Arial"/>
          <w:sz w:val="17"/>
          <w:szCs w:val="17"/>
          <w:color w:val="auto"/>
        </w:rPr>
        <w:t>convertible preferred stock issued in exchange for redeemable convertible preferred units outstanding as of March 31, 2023 into an equivalent number of shares of our common stock, which will occur immediately prior to the completion of this offering, and excludes:</w:t>
      </w:r>
    </w:p>
    <w:p>
      <w:pPr>
        <w:spacing w:after="0" w:line="81" w:lineRule="exact"/>
        <w:rPr>
          <w:sz w:val="20"/>
          <w:szCs w:val="20"/>
          <w:color w:val="auto"/>
        </w:rPr>
      </w:pPr>
    </w:p>
    <w:p>
      <w:pPr>
        <w:ind w:left="1180" w:hanging="1064"/>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the 2023 Plan; and</w:t>
      </w:r>
    </w:p>
    <w:p>
      <w:pPr>
        <w:spacing w:after="0" w:line="144" w:lineRule="exact"/>
        <w:rPr>
          <w:rFonts w:ascii="Arial" w:cs="Arial" w:eastAsia="Arial" w:hAnsi="Arial"/>
          <w:sz w:val="18"/>
          <w:szCs w:val="18"/>
          <w:color w:val="auto"/>
        </w:rPr>
      </w:pPr>
    </w:p>
    <w:p>
      <w:pPr>
        <w:ind w:left="1180" w:hanging="1064"/>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the ESPP.</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46"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To the extent that new stock options are issued, or we issue additional shares of common stock in the future, there will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60"/>
          </w:cols>
          <w:pgMar w:left="320" w:top="455" w:right="5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120" w:right="40"/>
        <w:spacing w:after="0" w:line="288" w:lineRule="auto"/>
        <w:rPr>
          <w:sz w:val="20"/>
          <w:szCs w:val="20"/>
          <w:color w:val="auto"/>
        </w:rPr>
      </w:pPr>
      <w:r>
        <w:rPr>
          <w:rFonts w:ascii="Arial" w:cs="Arial" w:eastAsia="Arial" w:hAnsi="Arial"/>
          <w:sz w:val="29"/>
          <w:szCs w:val="29"/>
          <w:b w:val="1"/>
          <w:bCs w:val="1"/>
          <w:color w:val="auto"/>
        </w:rPr>
        <w:t>MANAGEMENT’S DISCUSSION AND ANALYSIS OF FINANCIAL CONDITION AND RESULTS OF OPERATIONS</w:t>
      </w:r>
    </w:p>
    <w:p>
      <w:pPr>
        <w:spacing w:after="0" w:line="40"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appearing at the end of this prospectus. This discussion and other parts of this prospectus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this prospectus. Our historical results are not necessarily indicative of the results that may be expected for any period in the future.</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48" w:lineRule="exact"/>
        <w:rPr>
          <w:sz w:val="20"/>
          <w:szCs w:val="20"/>
          <w:color w:val="auto"/>
        </w:rPr>
      </w:pPr>
    </w:p>
    <w:p>
      <w:pPr>
        <w:ind w:left="120"/>
        <w:spacing w:after="0" w:line="250" w:lineRule="auto"/>
        <w:rPr>
          <w:sz w:val="20"/>
          <w:szCs w:val="20"/>
          <w:color w:val="auto"/>
        </w:rPr>
      </w:pPr>
      <w:r>
        <w:rPr>
          <w:rFonts w:ascii="Arial" w:cs="Arial" w:eastAsia="Arial" w:hAnsi="Arial"/>
          <w:sz w:val="17"/>
          <w:szCs w:val="17"/>
          <w:color w:val="auto"/>
        </w:rPr>
        <w:t>We are a precision genetic medicines company committed to developing curative therapeutics for patients using our proprietary, comprehensive metagenomics-derived genome editing toolbox. Genetic diseases are caused by a diverse set of mutations that have been largely inaccessible by genome engineering approaches to date. Genetic mutations are seen in a variety of forms, including deletions, insertions, single-base-pair changes and sequence repeats, and are found throughout the genome and across a variety of different cell types, tissues, and organ systems. Additionally, many diseases lack a genetic origin but have the potential to be effectively and permanently addressed through genome editing. We are harnessing the power of metagenomics, the study of genetic material recovered from the natural environment, to unlock four billion years of microbial evolution to discover and develop a suite of novel editing tools capable of correcting any type of genetic mutation found anywhere in the genome. Our comprehensive genome editing toolbox includes programmable nucleases, base editors, and RNA and DNA-mediated integration systems (including prime editing systems and clustered regularly interspaced short palindromic repeat (“CRISPR”)-associated transposases (“CASTs”)). We believe our diverse and modular toolbox positions us to uniquely access the entire genome and select the optimal tool to unlock the full potential of genome editing for patients. Our work in preclinical models including nonhuman primates has demonstrated the power of translating our metagenomics-</w:t>
      </w:r>
    </w:p>
    <w:p>
      <w:pPr>
        <w:spacing w:after="0" w:line="5" w:lineRule="exact"/>
        <w:rPr>
          <w:sz w:val="20"/>
          <w:szCs w:val="20"/>
          <w:color w:val="auto"/>
        </w:rPr>
      </w:pPr>
    </w:p>
    <w:p>
      <w:pPr>
        <w:ind w:left="120"/>
        <w:spacing w:after="0"/>
        <w:tabs>
          <w:tab w:leader="none" w:pos="7880" w:val="left"/>
        </w:tabs>
        <w:rPr>
          <w:sz w:val="20"/>
          <w:szCs w:val="20"/>
          <w:color w:val="auto"/>
        </w:rPr>
      </w:pPr>
      <w:r>
        <w:rPr>
          <w:rFonts w:ascii="Arial" w:cs="Arial" w:eastAsia="Arial" w:hAnsi="Arial"/>
          <w:sz w:val="18"/>
          <w:szCs w:val="18"/>
          <w:color w:val="auto"/>
        </w:rPr>
        <w:t xml:space="preserve">derived toolbox and we aim to file our first IND with the FDA for our first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program in</w:t>
      </w:r>
      <w:r>
        <w:rPr>
          <w:sz w:val="20"/>
          <w:szCs w:val="20"/>
          <w:color w:val="auto"/>
        </w:rPr>
        <w:tab/>
      </w:r>
      <w:r>
        <w:rPr>
          <w:rFonts w:ascii="Arial" w:cs="Arial" w:eastAsia="Arial" w:hAnsi="Arial"/>
          <w:sz w:val="18"/>
          <w:szCs w:val="18"/>
          <w:color w:val="auto"/>
        </w:rPr>
        <w:t>.</w:t>
      </w:r>
    </w:p>
    <w:p>
      <w:pPr>
        <w:spacing w:after="0" w:line="126"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Since our inception, we have devoted substantially all of our resources to organizing and staffing our company, business planning, raising capital, research and development activities, building our intellectual property portfolio and providing general and administrative support for these operations. We have historically financed our operations primarily through issuing redeemable convertible preferred units and convertible promissory notes and entering into collaboration agreements.</w:t>
      </w:r>
    </w:p>
    <w:p>
      <w:pPr>
        <w:spacing w:after="0" w:line="93"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color w:val="auto"/>
        </w:rPr>
        <w:t>We have incurred significant operating losses since inception and we expect to continue to incur substantial losses for the foreseeable future. Our net losses were $ 21.4 million and $43.6 million for the years ended December 31, 2021 and 2022, respectively. As of December 31, 2022, we had an accumulated deficit of $76.7 million. We anticipate that our expenses and operating losses will increase substantially for the foreseeable future as we:</w:t>
      </w:r>
    </w:p>
    <w:p>
      <w:pPr>
        <w:spacing w:after="0" w:line="106" w:lineRule="exact"/>
        <w:rPr>
          <w:sz w:val="20"/>
          <w:szCs w:val="20"/>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advance our current research activities and further develop our platform;</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continue preclinical development and initiate clinical trials for any product candidates we may identify;</w:t>
      </w:r>
    </w:p>
    <w:p>
      <w:pPr>
        <w:spacing w:after="0" w:line="144" w:lineRule="exact"/>
        <w:rPr>
          <w:rFonts w:ascii="Arial" w:cs="Arial" w:eastAsia="Arial" w:hAnsi="Arial"/>
          <w:sz w:val="18"/>
          <w:szCs w:val="18"/>
          <w:color w:val="auto"/>
        </w:rPr>
      </w:pPr>
    </w:p>
    <w:p>
      <w:pPr>
        <w:ind w:left="5480" w:right="2720" w:hanging="5364"/>
        <w:spacing w:after="0" w:line="443" w:lineRule="auto"/>
        <w:tabs>
          <w:tab w:leader="none" w:pos="338"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for which we successfully complete clinical trials; 101</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 our manufacturing capabilities, including internal manufacturing facilities and contracting with other vendors;</w:t>
      </w:r>
    </w:p>
    <w:p>
      <w:pPr>
        <w:spacing w:after="0" w:line="144" w:lineRule="exact"/>
        <w:rPr>
          <w:rFonts w:ascii="Arial" w:cs="Arial" w:eastAsia="Arial" w:hAnsi="Arial"/>
          <w:sz w:val="18"/>
          <w:szCs w:val="18"/>
          <w:color w:val="auto"/>
        </w:rPr>
      </w:pPr>
    </w:p>
    <w:p>
      <w:pPr>
        <w:ind w:left="340" w:right="40" w:hanging="224"/>
        <w:spacing w:after="0" w:line="271"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ultimately, commercialize any future product candidates for which we receive regulatory approval, requiring significant marketing, sales, and distribution infrastructure expenses;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hire additional research and development, clinical, commercial, general and administration personnel;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acquire or in-license product candidates, intellectual property and technologies;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 and maintain collaborations;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w:t>
      </w:r>
    </w:p>
    <w:p>
      <w:pPr>
        <w:spacing w:after="0" w:line="144" w:lineRule="exact"/>
        <w:rPr>
          <w:rFonts w:ascii="Arial" w:cs="Arial" w:eastAsia="Arial" w:hAnsi="Arial"/>
          <w:sz w:val="18"/>
          <w:szCs w:val="18"/>
          <w:color w:val="auto"/>
        </w:rPr>
      </w:pPr>
    </w:p>
    <w:p>
      <w:pPr>
        <w:ind w:left="340" w:right="160" w:hanging="224"/>
        <w:spacing w:after="0" w:line="271"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incur additional legal, audit, accounting, compliance, insurance, investor relations and other expenses to operate as a public company that we did not incur as a private company.</w:t>
      </w:r>
    </w:p>
    <w:p>
      <w:pPr>
        <w:spacing w:after="0" w:line="86"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We will not generate revenue from product sales unless and until we successfully initiate and complete clinical development and obtain regulatory approval for one or more product candidates. If we obtain regulatory approval for any product candidate and do not enter into a commercialization partnership, we expect to incur significant expenses related to developing our commercialization capability to support product sales, manufacturing, marketing, and distribution. 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our platform or delay our pursuit of potential in-licenses or acquisitions.</w:t>
      </w:r>
    </w:p>
    <w:p>
      <w:pPr>
        <w:spacing w:after="0" w:line="112" w:lineRule="exact"/>
        <w:rPr>
          <w:sz w:val="20"/>
          <w:szCs w:val="20"/>
          <w:color w:val="auto"/>
        </w:rPr>
      </w:pPr>
    </w:p>
    <w:p>
      <w:pPr>
        <w:ind w:left="120" w:right="240"/>
        <w:spacing w:after="0" w:line="259" w:lineRule="auto"/>
        <w:rPr>
          <w:sz w:val="20"/>
          <w:szCs w:val="20"/>
          <w:color w:val="auto"/>
        </w:rPr>
      </w:pPr>
      <w:r>
        <w:rPr>
          <w:rFonts w:ascii="Arial" w:cs="Arial" w:eastAsia="Arial" w:hAnsi="Arial"/>
          <w:sz w:val="17"/>
          <w:szCs w:val="17"/>
          <w:color w:val="auto"/>
        </w:rPr>
        <w:t>As of December 31, 2022, we had cash and cash equivalents and available-for-sale marketable securities of $362.1 million. We believe that the anticipated net proceeds from this offering, together with our existing cash, cash equivalents and available-for-sale marketable</w:t>
      </w:r>
    </w:p>
    <w:p>
      <w:pPr>
        <w:spacing w:after="0" w:line="1" w:lineRule="exact"/>
        <w:rPr>
          <w:sz w:val="20"/>
          <w:szCs w:val="20"/>
          <w:color w:val="auto"/>
        </w:rPr>
      </w:pPr>
    </w:p>
    <w:p>
      <w:pPr>
        <w:ind w:left="120" w:right="180"/>
        <w:spacing w:after="0" w:line="242" w:lineRule="auto"/>
        <w:rPr>
          <w:sz w:val="20"/>
          <w:szCs w:val="20"/>
          <w:color w:val="auto"/>
        </w:rPr>
      </w:pPr>
      <w:r>
        <w:rPr>
          <w:rFonts w:ascii="Arial" w:cs="Arial" w:eastAsia="Arial" w:hAnsi="Arial"/>
          <w:sz w:val="18"/>
          <w:szCs w:val="18"/>
          <w:color w:val="auto"/>
        </w:rPr>
        <w:t>securities will be sufficient to fund our operating expenses and capital expenditure requirements through . We have based this estimate on assumptions that may prove to be wrong, and we could exhaust our available capital resources sooner than we expect. See “Liquidity and Capital Resources” and “Risk Factors—Risks Related To Our Financial Position and Need for Additional Capital.”</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Macroeconomic Trends</w:t>
      </w:r>
    </w:p>
    <w:p>
      <w:pPr>
        <w:spacing w:after="0" w:line="148"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Unfavorable conditions in the economy in the United States and abroad may negatively affect the growth of our business and our results of operations. For example, macroeconomic events, including, rising inflation, tensions in U.S.-China relations, the COVID-19 pandemic, the U.S. Federal Reserve raising interest rates, recent and potential future disruptions in access to bank deposits and lending commitments due to bank failures and the Russia-Ukraine war, have led to economic uncertainty and volatility globally. The effect of macroeconomic conditions may not be fully reflected in our results of operations until future periods. To date, the macroeconomic trends discussed above, including, have not had a material adverse impact on our business or result of. If, however, economic uncertainty increases or the global economy worsens, our business, financial condition and results of operations may be harmed. For further discussion of the potential impacts of macroeconomic events on our business, financial condition, and operating results, refer to the section titled “Risk Factors” included elsewhere in this prospectus.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Collaboration and License Agreements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Moderna Strategic Collaboration and License Agreement</w:t>
      </w:r>
    </w:p>
    <w:p>
      <w:pPr>
        <w:spacing w:after="0" w:line="142"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 xml:space="preserve">On October 29, 2021, the effective date, we entered into a Strategic Collaboration and License Agreement (the “Moderna Agreement”) with Moderna. We will collaborate with Moderna on the research and development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genome editing therapies directed at certain targets and the commercialization of such genome editing therapies. The collaboration provides Moderna with exclusive access to our technology platform during the research period in (1) the field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editing technology for a therapeutic, ameliorative or prophylactic application by way of knock-out through InDel formation or base editing or insertion of an exogenous DNA template (such field, “DT Field”) and (2) the field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editing technology for a therapeutic, ameliorative or prophylactic application outside the use of (a) DNA donor templates and (b) no exogenous template at all but including (c) correction by base editing (such field, “RT Field”). We formed a joint steering committee, a joint research subcommittee and a joint patent subcommittee to oversee the collaboration activities.</w:t>
      </w:r>
    </w:p>
    <w:p>
      <w:pPr>
        <w:spacing w:after="0" w:line="102"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Under the terms of the Moderna Agreement, we and Moderna will collaborate on one or more programs in the RT Field (the “Moderna RT program”) and two programs in the DT Field (the “Moderna DT program” and the “DT Co-Co program”).</w:t>
      </w:r>
    </w:p>
    <w:p>
      <w:pPr>
        <w:spacing w:after="0" w:line="86"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With respect to the Moderna RT and Moderna DT programs, we will collaborate on the research and development of product candidates under the approved research plans. The initial research term of the Moderna RT program is four years, which may be extended by Moderna for an additional three years upon written notice and a payment of extension fees. The initial research term of the Moderna DT program is four years. We granted to Moderna an option to obtain an exclusive license to develop, manufacture and commercialize up to ten Moderna RT program candidates and up to two Moderna DT program candidates at any time during the research term and prior to filing of an IND application with the FDA or any similar application filed with a regulatory authority in a country other than the United States (“U.S.”), subject to Moderna’s payment of an option exercise fee of $10.0 million per target.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respect to the DT Co-Co program, we will work together with Moderna on the co-development and commercialization of products and share costs and profits equally. We maintain commercialization rights in the U.S. (subject to Moderna’s right to appoint up to 50% of the U.S. sales force for the DT Co-Co program), while Moderna maintains these rights in countries other than the U.S. The initial research term for the DT Co-Co program is four years, and each party has a right to opt-out of the DT Co-Co program at any time, at which point the other party has the right to solely continue the development and commercialization activities. If there is no development candidate nomination by the end of the initial research term, the DT Co-Co program will expire, unless we have mutually agreed to continue the program.</w:t>
      </w:r>
    </w:p>
    <w:p>
      <w:pPr>
        <w:spacing w:after="0" w:line="104"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7"/>
          <w:szCs w:val="17"/>
          <w:color w:val="auto"/>
        </w:rPr>
        <w:t>During the year ended December 31, 2021, we received a non-refundable upfront payment of $40.0 million and a $5.0 million payment for the first year of research costs. Concurrent with the Moderna Collaboration Agreement, Moderna also provided $30.0 million in cash in the form of a convertible promissory note (see Note 9 in our audited consolidated financial statements included elsewhere in this prospectus) pursuant to a convertible promissory note agreement dated October 29, 2021 (the “Moderna Convertible Promissory Note Agreement”).</w:t>
      </w:r>
    </w:p>
    <w:p>
      <w:pPr>
        <w:ind w:left="120" w:right="500"/>
        <w:spacing w:after="0" w:line="250" w:lineRule="auto"/>
        <w:rPr>
          <w:sz w:val="20"/>
          <w:szCs w:val="20"/>
          <w:color w:val="auto"/>
        </w:rPr>
      </w:pPr>
      <w:r>
        <w:rPr>
          <w:rFonts w:ascii="Arial" w:cs="Arial" w:eastAsia="Arial" w:hAnsi="Arial"/>
          <w:sz w:val="18"/>
          <w:szCs w:val="18"/>
          <w:color w:val="auto"/>
        </w:rPr>
        <w:t>Moderna will reimburse us up to $5.0 million in annual research and development costs related to the Moderna DT and Moderna RT programs, or up to the agreed amount of expenses per the budget.</w:t>
      </w:r>
    </w:p>
    <w:p>
      <w:pPr>
        <w:spacing w:after="0" w:line="104" w:lineRule="exact"/>
        <w:rPr>
          <w:sz w:val="20"/>
          <w:szCs w:val="20"/>
          <w:color w:val="auto"/>
        </w:rPr>
      </w:pPr>
    </w:p>
    <w:p>
      <w:pPr>
        <w:ind w:left="120" w:right="60"/>
        <w:spacing w:after="0" w:line="259" w:lineRule="auto"/>
        <w:rPr>
          <w:sz w:val="20"/>
          <w:szCs w:val="20"/>
          <w:color w:val="auto"/>
        </w:rPr>
      </w:pPr>
      <w:r>
        <w:rPr>
          <w:rFonts w:ascii="Arial" w:cs="Arial" w:eastAsia="Arial" w:hAnsi="Arial"/>
          <w:sz w:val="17"/>
          <w:szCs w:val="17"/>
          <w:color w:val="auto"/>
        </w:rPr>
        <w:t>We are eligible to receive (i) technology milestone fees related to the achievement of certain preclinical research objectives of up to $75.0 million, (ii) development and regulatory milestones for the Moderna DT and Moderna RT programs of up to $100.0 million per target,</w:t>
      </w:r>
    </w:p>
    <w:p>
      <w:pPr>
        <w:spacing w:after="0" w:line="1" w:lineRule="exact"/>
        <w:rPr>
          <w:sz w:val="20"/>
          <w:szCs w:val="20"/>
          <w:color w:val="auto"/>
        </w:rPr>
      </w:pPr>
    </w:p>
    <w:p>
      <w:pPr>
        <w:ind w:left="120" w:right="60" w:hanging="4"/>
        <w:spacing w:after="0" w:line="242" w:lineRule="auto"/>
        <w:tabs>
          <w:tab w:leader="none" w:pos="41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sales milestones of up to $200.0 million per target, and (iv) royalties ranging from a mid-single digit to a low double-digit percentage of annual net sales of a licensed product. With respect to the DT Co-Co program for which the opt-out party has exercised its opt-out right, the continuing party will pay to the opt-out party, certain development, regulatory and sales milestone</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5" w:right="4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payments that will not exceed an aggregate $239.0 million per DT Co-Co target, and opt-out royalties ranging from a high-single digit to a low-teens percentage of annual net sales of a licensed product.</w:t>
      </w:r>
    </w:p>
    <w:p>
      <w:pPr>
        <w:spacing w:after="0" w:line="86"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term of the Moderna Agreement will continue on a licensed product-by-licensed product and country-by-country basis, until the expiration of the applicable royalty term. The royalty term commences on the first commercial sale of a licensed product and terminates on the latest of: (a) the expiration or abandonment of the last valid claim of a patent within the licensed Moderna DT or RT technology; (b) 10 years after the first commercial sale of a licensed product; and (c) expiration of the regulatory exclusivity. Upon the expiration of the term of a licensed product in the Moderna DT or Moderna RT program, the licenses granted to Moderna will survive and become perpetual, fully paid and royalty-free. Each party may terminate the Moderna Agreement on a program-by-program basis upon written notice to the other party for an uncured material breach or insolvency. We may terminate the Moderna Agreement upon written notice to Moderna for a patent challenge. Additionally, Moderna may terminate the agreement at its convenience with respect to Moderna DT or Moderna RT programs for any reason upon at least: (a) 60 days’ prior written notice if a first commercial sale has not occurred for the products in such program, or (b) 180 days’ prior written notice if a first commercial sale of a product in such program has occurred.</w:t>
      </w:r>
    </w:p>
    <w:p>
      <w:pPr>
        <w:spacing w:after="0" w:line="112"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We concluded that the Moderna DT and Moderna RT programs are in the scope of ASC 606. We determined that the licenses granted to Moderna, and its participation in the joint steering committee are not capable of being distinct from the preclinical research and development services and therefore concluded that there are two performance obligations: (1) the Moderna RT program and (2) the Moderna DT program. We also concluded that the option to obtain an exclusive license and options to extend Moderna RT program term do not include significant incremental discounts, and as such, the options do not provide material rights.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We concluded the DT Co-Co program research activities are within the scope of ASC 808, as we and Moderna are both active participants in the research, development and commercialization activities, are exposed to significant risks and rewards that are dependent on the success of the DT Co-Co program activities and share costs and profits equally. We determined that the guidance in ASC 730, </w:t>
      </w:r>
      <w:r>
        <w:rPr>
          <w:rFonts w:ascii="Arial" w:cs="Arial" w:eastAsia="Arial" w:hAnsi="Arial"/>
          <w:sz w:val="18"/>
          <w:szCs w:val="18"/>
          <w:i w:val="1"/>
          <w:iCs w:val="1"/>
          <w:color w:val="auto"/>
        </w:rPr>
        <w:t>Research</w:t>
      </w:r>
      <w:r>
        <w:rPr>
          <w:rFonts w:ascii="Arial" w:cs="Arial" w:eastAsia="Arial" w:hAnsi="Arial"/>
          <w:sz w:val="18"/>
          <w:szCs w:val="18"/>
          <w:color w:val="auto"/>
        </w:rPr>
        <w:t xml:space="preserve"> </w:t>
      </w:r>
      <w:r>
        <w:rPr>
          <w:rFonts w:ascii="Arial" w:cs="Arial" w:eastAsia="Arial" w:hAnsi="Arial"/>
          <w:sz w:val="18"/>
          <w:szCs w:val="18"/>
          <w:i w:val="1"/>
          <w:iCs w:val="1"/>
          <w:color w:val="auto"/>
        </w:rPr>
        <w:t>and Development</w:t>
      </w:r>
      <w:r>
        <w:rPr>
          <w:rFonts w:ascii="Arial" w:cs="Arial" w:eastAsia="Arial" w:hAnsi="Arial"/>
          <w:sz w:val="18"/>
          <w:szCs w:val="18"/>
          <w:color w:val="auto"/>
        </w:rPr>
        <w:t>, was appropriate to apply to the DT Co-Co program research activities by analogy, based on the nature of the cost</w:t>
      </w:r>
      <w:r>
        <w:rPr>
          <w:rFonts w:ascii="Arial" w:cs="Arial" w:eastAsia="Arial" w:hAnsi="Arial"/>
          <w:sz w:val="18"/>
          <w:szCs w:val="18"/>
          <w:i w:val="1"/>
          <w:iCs w:val="1"/>
          <w:color w:val="auto"/>
        </w:rPr>
        <w:t xml:space="preserve"> </w:t>
      </w:r>
      <w:r>
        <w:rPr>
          <w:rFonts w:ascii="Arial" w:cs="Arial" w:eastAsia="Arial" w:hAnsi="Arial"/>
          <w:sz w:val="18"/>
          <w:szCs w:val="18"/>
          <w:color w:val="auto"/>
        </w:rPr>
        <w:t>sharing provisions of the agreement. We concluded that DT Co-Co program is one unit of accounting, as the co-exclusive license is not distinct from the research and development and the participation in joint steering committee activities. We recognize payments to or from Moderna related to the DT Co-Co program cost sharing research activities as an increase to or reduction of research and development expenses, respectively.</w:t>
      </w:r>
    </w:p>
    <w:p>
      <w:pPr>
        <w:spacing w:after="0" w:line="11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concluded that the Moderna Collaboration Agreement and the Moderna Convertible Promissory Note Agreement should be combined and treated as a single arrangement for accounting purposes as the agreements were entered into contemporaneously and in contemplation of one another. We estimated the contract consideration to be $90.0 million, which consisted of: 1) the non-refundable upfront collaboration payment of $40.0 million received in 2021, 2) $30.0 million in cash received in 2021 in exchange for the convertible promissory note and 3) the estimated cost reimbursements for Moderna DT and Moderna RT programs of $20.0 million. We constrained future milestones, as we assessed that it is probable that the inclusion of such variable consideration could result in a significant reversal of cumulative revenue in future periods. During the year ended December 31, 2021, we recorded $30.0 million of the contract consideration for the convertible promissory note based on the fair value (see Note 9 in our audited consolidated financial statements included elsewhere in this prospectus) and allocated the transaction price of $60.0 million to each of the following programs on a relative standalone selling price basis: 1) $49.5 million to the Moderna RT program, 2) $5.5 million to the Moderna DT program, and 3) $5.0 million to the DT Co-Co program.</w:t>
      </w:r>
    </w:p>
    <w:p>
      <w:pPr>
        <w:spacing w:after="0" w:line="118"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The variable consideration is reevaluated at each reporting period and as changes in circumstances occur. We recognize revenue for each of the Moderna DT and Moderna RT programs as collaboration revenue based on the measure of progress using an estimated cost-based input method each reporting period. We also amortize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0"/>
        <w:spacing w:after="0" w:line="271" w:lineRule="auto"/>
        <w:rPr>
          <w:sz w:val="20"/>
          <w:szCs w:val="20"/>
          <w:color w:val="auto"/>
        </w:rPr>
      </w:pPr>
      <w:r>
        <w:rPr>
          <w:rFonts w:ascii="Arial" w:cs="Arial" w:eastAsia="Arial" w:hAnsi="Arial"/>
          <w:sz w:val="18"/>
          <w:szCs w:val="18"/>
          <w:color w:val="auto"/>
        </w:rPr>
        <w:t>the allocation consideration for the DT Co-Co program of $5.0 million as a credit to research and development expenses during the discovery and lead optimization phases for the DT Co-Co program.</w:t>
      </w:r>
    </w:p>
    <w:p>
      <w:pPr>
        <w:spacing w:after="0" w:line="86"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We recognized collaboration revenue of $0.2 million and $14.5 million in the consolidated statements of operations and comprehensive loss for the years ended December 31, 2021 and 2022, respectively. As of December 31, 2021 and 2022, deferred revenue related to Moderna was $39.7 million and $30.2 million, respectively. Collaboration revenue recognized during the year ended December 31, 2022 included $ 14.5 million that was included in deferred revenue as of December 31, 2021. The value of the transaction price allocated to the remaining unsatisfied portion of the performance obligations was approximately $41.9 million as of December 31, 2022, which we expect to recognize as revenue over the next three-to-four years.</w:t>
      </w:r>
    </w:p>
    <w:p>
      <w:pPr>
        <w:spacing w:after="0" w:line="111"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We recognized $0.2 million and $0.3 million in credits to research and development expenses related to cost sharing allocation and amortization of the collaboration advance, respectively, within research and development expenses in the consolidated statement of operations and comprehensive loss during the year ended December 31, 2021. We recognized $0.9 million and $3.5 million in credits to research and development expenses related to cost sharing allocation and amortization of the collaboration advance, respectively, during the year ended December 31, 2022. As of December 31, 2021, the collaboration advance balance was $4.7 million, partially offset by the cost-sharing receivable balance of $0.2 million, which was presented as a collaboration advance on our consolidated balance sheet. As of December 31, 2022, the collaboration advance balance was $1.1 million, partially offset by the cost-sharing receivable balance of $0.4 million, which was presented as a collaboration advance on our consolidated balance sheet.</w:t>
      </w:r>
    </w:p>
    <w:p>
      <w:pPr>
        <w:spacing w:after="0" w:line="99" w:lineRule="exact"/>
        <w:rPr>
          <w:sz w:val="20"/>
          <w:szCs w:val="20"/>
          <w:color w:val="auto"/>
        </w:rPr>
      </w:pPr>
    </w:p>
    <w:p>
      <w:pPr>
        <w:ind w:left="120" w:right="860"/>
        <w:spacing w:after="0" w:line="271" w:lineRule="auto"/>
        <w:rPr>
          <w:sz w:val="20"/>
          <w:szCs w:val="20"/>
          <w:color w:val="auto"/>
        </w:rPr>
      </w:pPr>
      <w:r>
        <w:rPr>
          <w:rFonts w:ascii="Arial" w:cs="Arial" w:eastAsia="Arial" w:hAnsi="Arial"/>
          <w:sz w:val="18"/>
          <w:szCs w:val="18"/>
          <w:color w:val="auto"/>
        </w:rPr>
        <w:t>For additional information regarding the Moderna Agreement, please see the section titled “Business Section—Our License and Collaboration Agreements.”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Affini-T Development, Option and License Agreement</w:t>
      </w:r>
    </w:p>
    <w:p>
      <w:pPr>
        <w:spacing w:after="0" w:line="129"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On June 14, 2022, the effective date, we entered into a Development, Option and License Agreement (the “Affini-T Agreement”) with Affini-T. Pursuant to the Affini-T Agreement, we and Affini-T have agreed to identify, develop or optimize certain reagents using our proprietary technology for Affini-T to use such reagents to develop and commercialize gene edited TCR-based therapeutic products exclusively in the field of treatment, prevention or diagnosis of any human cancer using products with any engineered primary TCR alpha/beta T cells and non-exclusively in the field of treatment, prevention or diagnosis of any human cancer using products with certain other engineered immune cells worldwide. A joint steering committee was established by both parties to assign alliance managers and project leaders to oversee the collaboration activities.</w:t>
      </w:r>
    </w:p>
    <w:p>
      <w:pPr>
        <w:spacing w:after="0" w:line="117"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 xml:space="preserve">Pursuant to the Affini-T Agreement, we granted Affini-T options to receive, on a pre-specified target-by-pre-specified target basis, for up to six pre-specified targets, either (i) an exclusive, royalty-bearing, sublicensable worldwide license under all of our applicable intellectual property to research, develop, manufacture, use, commercialize and otherwise exploit any TCR-based therapy, preventative treatment, or diagnostic for humans that is directed to such pre-specified target, contains or comprises Primary TCR alpha/beta T Cells and is derived from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application of a Company reagent (the “Exclusive Option”) or (ii) a non-exclusive, royalty-bearing, sublicensable worldwide license under all our applicable intellectual property to research, develop, manufacture, use commercialize and otherwise exploit any TCR-based therapy, preventative treatment, or diagnostic for humans that is directed to such pre-specified target, contains or comprises TCR natural killer (“NK”) cells derived from iPSC immune cells or TCR T cells derived from donor-derived or iPSC immune cells. Affini-T can exercise its options for either an exclusive license or a non-exclusive license, or both, for each pre-specified target by providing written notice prior to the earlier of (x) the end of the Affini-T Agreement term or (y) 90 days following the filing of an IND for a licensed product directed to a pre-specified target, subject to the payment of certain fees per each option exercised. After the option exercise, Affini-T has agreed to use</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commercially reasonable efforts to conduct all development and commercialization activities for a licensed product, and development and commercialization of all licensed products will be at Affini-T’s sole cost and expense.</w:t>
      </w:r>
    </w:p>
    <w:p>
      <w:pPr>
        <w:spacing w:after="0" w:line="86"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In connection with the Affini-T Agreement, we received upfront equity consideration of 719,920 shares of Affini-T’s common stock with an estimated fair value of $1.3 million in June 2022. The fair value of Affini-T’s shares of common stock was estimated by our management, considering the most recent third-party valuation. Affini-T has also agreed to reimburse us for expenses incurred while performing research activities under the research plans. Additionally, we are eligible to receive (i) 933,650 shares of Affini-T’s common stock upon the achievement of a regulatory milestone, (ii) up to $18.8 million in future developmental milestone payments and $40.6 million in future regulatory milestone payments for all licensed products directed to a pre-specified target if options for both exclusive and non-exclusive licenses are exercised with respect to such target, (iii) up to $250.0 million in sales-based milestones for aggregate sales of all licensed products directed to a given pre-specified target and (iv) royalties ranging from a low-single digit to high-single digit percentage of worldwide annual net sales of licensed products.</w:t>
      </w:r>
    </w:p>
    <w:p>
      <w:pPr>
        <w:spacing w:after="0" w:line="116"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 initial term of the Affini-T Agreement is five years from the effective date. If Affini-T exercises an Exclusive Option with respect to any pre-specified target during the initial term, the initial term will be extended by an additional five years. Following the expiration of the extended term, if any, the agreement will continue on a target-by-target basis and expire with respect to such target upon the expiration of the royalty term for all licensed products directed to such target. The Affini-T Agreement may be terminated during the term by either party for an uncured material breach by, or bankruptcy of, the other party. Additionally, Affini-T may terminate the Affini-T Agreement for convenience, in its entirety, on a research plan-by-research plan basis, on a target-by-target basis or on a licensed product-by-licensed product basis, by providing prior written notice.</w:t>
      </w:r>
    </w:p>
    <w:p>
      <w:pPr>
        <w:spacing w:after="0" w:line="104"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color w:val="auto"/>
        </w:rPr>
        <w:t>We concluded that the Affini-T Agreement is in the scope of ASC 606 and that there is one performance obligation to perform research activities under the Affini-T Agreement. Exclusive and non-exclusive licenses are optional contingent purchases that do not include significant incremental discounts, and therefore do not provide a material right.</w:t>
      </w:r>
    </w:p>
    <w:p>
      <w:pPr>
        <w:spacing w:after="0" w:line="10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At the effective date, the transaction price consisted of the upfront equity consideration with an estimated fair value of $1.3 million and estimated research reimbursement costs. Research reimbursement costs represent variable consideration, and our management estimates what portion to include in total consideration at the end of each reporting period. Other payments under the Affini-T Agreement, including additional equity consideration and development and regulatory milestones, also represent variable consideration, and are constrained to the extent that the inclusion of such variable consideration could result in a significant reversal of cumulative revenue in future periods. As of December 31, 2022, additional equity consideration and future development and regulatory milestone payments were excluded from the estimated total transaction price as they were considered constrained. The transaction price is reevaluated in each reporting period and as changes in circumstances occur. We recognize revenue each reporting period based on the measure of progress using an estimated cost-based input method.</w:t>
      </w:r>
    </w:p>
    <w:p>
      <w:pPr>
        <w:spacing w:after="0" w:line="116"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We recognized $2.6 million in collaboration revenue in the consolidated statements of operations and comprehensive loss during the year ended December 31, 2022. As of December 31, 2022, we recorded $1.3 million in contract assets on the consolidated balance sheet, related to services performed but not invoiced. There was no deferred revenue related to the Affini-T Agreement as of December 31, 2022. The value of the transaction price allocated to the remaining unsatisfied portion of the performance obligation was approximately $8.0 million as of December 31, 2022, which we expect to recognize as revenue over the next five-to-six years. In June 2023, the joint steering committee approved the budget for estimated research reimbursement costs for the Affini-T Agreement, which resulted in a $2.4 million reduction to variable consideration.</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5" w:right="4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0"/>
        <w:spacing w:after="0" w:line="271" w:lineRule="auto"/>
        <w:rPr>
          <w:sz w:val="20"/>
          <w:szCs w:val="20"/>
          <w:color w:val="auto"/>
        </w:rPr>
      </w:pPr>
      <w:r>
        <w:rPr>
          <w:rFonts w:ascii="Arial" w:cs="Arial" w:eastAsia="Arial" w:hAnsi="Arial"/>
          <w:sz w:val="18"/>
          <w:szCs w:val="18"/>
          <w:color w:val="auto"/>
        </w:rPr>
        <w:t>For additional information regarding the Affini-T Agreement, please see the section titled “Business Section—Our License and Collaboration Agreements.”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Ionis Collaboration and License Agreement</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On November 10, 2022, the effective date, we entered into a Collaboration and License Agreement (the “Ionis Agreement”) with Ionis to collaborate on drug discovery and exploratory research activities to advance new medicines using gene editing strategies, with the goal of discovering novel medicines. Pursuant to the terms of the Ionis Agreement, we granted Ionis and its affiliates a worldwide exclusive, royalty-bearing license, with the right to grant sublicenses, to use all licensed systems and licensed products in the field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editing for all therapeutic, prophylactic, palliative, and analgesic uses in humans. In connection with the Ionis Agreement, we also have the right to exercise an exclusive option to co-develop and co -commercialize certain products under a drug discovery program. A joint steering committee was established by both parties to coordinate, oversee, and monitor the research and drug discovery activities under the Ionis Agreement.</w:t>
      </w:r>
    </w:p>
    <w:p>
      <w:pPr>
        <w:spacing w:after="0" w:line="113"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We will collaborate to discover therapeutic products under a drug discovery program and develop a drug discovery plan for each target, selected by Ionis. The target selection is divided into two waves: up to four targets in Wave 1 and up to four targets in Wave 2. For each drug discovery program, once the parties identify a development candidate that is suitable for further development, Ionis will be responsible for the development and commercialization of products resulting from such program. Per the terms of the Ionis Agreement, at any time prior to the designation of a development candidate for a drug discovery program and for any reason, Ionis may replace the collaboration target, provided such target has not previously been substituted out. Ionis may substitute (i) up to two Wave 1 targets and (ii) up to two Wave 2 targets.</w:t>
      </w:r>
    </w:p>
    <w:p>
      <w:pPr>
        <w:spacing w:after="0" w:line="117"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The drug discovery activities for a program commence on the selection of a target and expire upon the earlier of (a) completion of all drug discovery activities for such program, (b) the fifth anniversary of the effective date and (c) selection of a development candidate for such drug discovery program. If one or more Wave 2 targets become collaboration targets as a result of the parties achieving enabled delivery and less than two years are remaining in the drug discovery term, then the term will be extended to the earlier of (i) the time that we complete all of our activities under the applicable drug discovery plan and (ii) the seventh anniversary of the effective date, subject to our consent.</w:t>
      </w:r>
    </w:p>
    <w:p>
      <w:pPr>
        <w:spacing w:after="0" w:line="98"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We will also conduct an exploratory research program, and will jointly optimize guide RNA (“qRNA”) and select delivery technologies and other activities. The exploratory research activities commence on the effective date and expire upon the earlier of (a) completion of all exploratory research activities established in the exploratory research plan, and (b) the fifth anniversary of the effective date.</w:t>
      </w:r>
    </w:p>
    <w:p>
      <w:pPr>
        <w:spacing w:after="0" w:line="101"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We have the exclusive option to co-develop and co-commercialize the licensed products under a drug discovery program (the “Co-Co Option”) with Ionis. The Co-Co Option may be exercised for (a) the initial Wave 1 target (“Target 1”), (b) no more than one of the other three discovery programs for the Wave 1 targets, and (c) no more than two drug discovery programs for the Wave 2 targets that become collaboration targets. If we exercise the Co-Co Option for a particular drug discovery program, that drug discovery program will automatically be deemed a “Co-Co Program”, all corresponding licensed products be deemed “Co-Co Products,” we will be obligated to pay Ionis an option exercise fee, and we will enter into a separate co-development and co-commercialization agreement. The Co-Co Option exercise fee will equal 50% of Ionis’ internal costs and out-of-pocket costs incurred in the conduct of the drug discovery activities prior to the exercise of the Co-Co Option and be reduced by 50% of our corresponding costs incurred. Future development and commercialization costs will be shared equally. We may elect to reduce our cost-share percentage anywhere between 50% and 25% on a go-forward basis, provided we will continue to bear 50% of the costs of any clinical trials ongoing at the time of the election through the completion of the clinical trials.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We will manufacture all licensed systems and certain components of the applicable licensed products that are needed by Ionis for use in its development activities and all of our manufactured components needed by Ionis for use in its commercialization activities. We will provide the manufactured components at a price that represents the cost of goods plus 15%.</w:t>
      </w:r>
    </w:p>
    <w:p>
      <w:pPr>
        <w:spacing w:after="0" w:line="10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 xml:space="preserve">Pursuant to the terms of the Ionis Agreement, we have also been granted an option to obtain a non-exclusive, royalty-bearing license, with the right to grant sublicenses, for certain Ionis’ background technology to use in up to eight therapeutic products discovered by us in the field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editing and directed to a Collaboration Target (each such product, a “Metagenomi Product” and each such option an “Ionis IP Option”), but subject to encumbrance checks with respect to particular targets. A Collaboration Target is a target that is selected by Ionis, and, with respect to us, is not the subject of discussions with a third party, is not the subject of a contractual grant of rights to a third party nor the subject of an internal bona fide research and development program. If we exercise our Ionis IP Option, we will pay to Ionis up to several million dollars per Metagenomi Product upon achievement of certain clinical and regulatory milestones. We are also obligated to pay Ionis royalties in an amount equal to a low single-digit royalty on the net sales of the applicable Metagenomi Product on product-by-product and country-by-country basis.</w:t>
      </w:r>
    </w:p>
    <w:p>
      <w:pPr>
        <w:spacing w:after="0" w:line="116"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In November 2022, we received an $80.0 million upfront payment from Ionis for the Wave 1 drug discovery research collaboration and selected Target 1. Ionis selected its second target (“Target 2”) in Wave 1 in December 2022, and will select two final additional Wave 1 targets (“Target 3” and “Target 4”) within the 12 months from the effective date, as permitted under the arrangement. Ionis has an option to select up to four Wave 2 targets at any time during the drug discovery term, if (a) an IND for any licensed product directed to a Wave 1 target is filed with the applicable regulatory authority or (b) the parties achieve enabled delivery for a non-liver target under the exploratory research activities, by providing written notice and by paying a Wave 2 target selection fee of $15.0 million or $30.0 million, depending on and per the selected target.</w:t>
      </w:r>
    </w:p>
    <w:p>
      <w:pPr>
        <w:spacing w:after="0" w:line="104"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Ionis is obligated to reimburse us for all internal costs and out-of-pocket costs incurred in the performance of the exploratory research activities, up to an aggregate of $10.0 million, and is payable in quarterly installments of $0.5 million during the exploratory research term. We are also eligible to receive (a) up to $29.0 million in future development milestone payments for each licensed product; (b) up to $60.0 million in future regulatory milestone payments for each licensed product; (c) up to $250.0 million in sales-based milestones for each licensed product; and (d) royalties on annual net sales of licensed products from a mid-single-digit to low-teens percentage, subject to customary reductions.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term of the Ionis Agreement will continue until (i) with respect to the drug discovery programs, until the expiration of all applicable royalty terms for a licensed product, (ii) with respect to the Co-Co Programs, until the parties cease all exploitation for the Co-Co Products that are the subject to such Co-Co Program, and (iii) with respect to the Metagenomi Products, until the expiration of the royalty term for a Metagenomi Product. The royalty term ends on the latest of the following two dates: (i) the expiration of (A) the last claim of any issued and unexpired patent, or (B) a claim within a patent application that has not been pending for more than seven years from the earliest date to which the claim or applicable patent application is entitled to claim priority and which claim has not been revoked, cancelled, withdrawn, held invalid, or abandoned, or (ii) 12 years following the first commercial sale of a licensed product.</w:t>
      </w:r>
    </w:p>
    <w:p>
      <w:pPr>
        <w:spacing w:after="0" w:line="117"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The Ionis Agreement may be terminated during the term by either party for an uncured material breach or bankruptcy by the other party. Additionally, Ionis may terminate the Ionis Agreement for convenience and without penalty, in its entirety or on a licensed product-by-licensed product basis, by providing 90 days’ written notice.</w:t>
      </w:r>
    </w:p>
    <w:p>
      <w:pPr>
        <w:spacing w:after="0" w:line="88"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We concluded that the Ionis Agreement is in the scope of ASC 606 at the effective date and until we exercise our Co-Co Option for any drug discovery program, which was determined to not be probable at the effective date and as of December 31, 2022. We also concluded that exclusive licenses and participation in a joint steering committee are not distinct from discovery research services and should thus be combined into one performance obligation</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5" w:right="4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auto"/>
        </w:rPr>
        <w:t>(the “discovery program”). We also concluded that exploratory research services are a separate and distinct performance obligation (the “exploratory program”). As the Ionis options for Wave 2 targets are optional purchases and do not have significant incremental discounts, as such, the options do not provide material rights.</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allocated the total estimated transaction price of $90.0 million, which consisted of an $80.0 million upfront payment received in November 2022 and a $10.0 million reimbursement for research costs, into two performance obligations, and was determined based on their estimated standalone selling prices. We concluded that future development and commercial supply agreements are at market terms, as the terms were consistent with industry standards as of the effective date. We constrain future milestone payments under the arrangement to the extent that the inclusion of such variable consideration could result in a significant reversal of cumulative revenue in future periods. We constrained all development and regulatory milestone payments at the effective date and as of December 31, 2022. We are recognizing revenue of $80.0 million related to the discovery program and of $10.0 million related to exploratory program over the research terms using an estimated cost-based input method as a measure of progress for each obligation.</w:t>
      </w:r>
    </w:p>
    <w:p>
      <w:pPr>
        <w:spacing w:after="0" w:line="113"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We recognized $0.1 million in collaboration revenue in the consolidated statements of operations and comprehensive loss during the year ended December 31, 2022. As of December 31, 2022, deferred revenue related to the Ionis Agreement was $79.9 million. The value of the transaction price allocated to the remaining performance obligations was approximately $89.9 million as of December 31, 2022, which we expect to recognize as revenue over the next five-to-six years.</w:t>
      </w:r>
    </w:p>
    <w:p>
      <w:pPr>
        <w:spacing w:after="0" w:line="93"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For additional information regarding the lonis Agreement, please see the section titled “Business Section—Our License and Collaboration Agreements.”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Reorganization</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currently operate as a Delaware limited liability company under the name Metagenomi Technologies, LLC. Prior to the completion of this offering, we intend to complete a series of transactions pursuant to which Metagenomi Technologies, LLC will merge with and into its wholly-owned subsidiary, Metagenomi, Inc., a Delaware corporation, with Metagenomi, Inc. continuing as the surviving corporation. In connection with the Reorganization (i) all of the outstanding common unitholders of Metagenomi Technologies, LLC will receive shares of common stock of Metagenomi, Inc., (ii) all of the outstanding preferred unitholders of Metagenomi Technologies, LLC will receive shares of convertible preferred stock of Metagenomi, Inc. and (iii) all of the outstanding holders of profits interests in Metagenomi Technologies, LLC will receive shares of common stock or restricted common stock in Metagenomi, Inc. For more information on the Reorganization, see the section titled “Reorganization” included elsewhere in this prospectus.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Components of Results of Operations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42"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for the foreseeable future. Our ability to generate product revenues will depend on the successful development and eventual commercialization of any product candidates that we identify. If we fail to complete the development of any future product candidates in a timely manner or to obtain regulatory approval for such product candidates, our ability to generate future revenue and our results of operations and financial position would be materially adversely affected.</w:t>
      </w:r>
    </w:p>
    <w:p>
      <w:pPr>
        <w:spacing w:after="0" w:line="109"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To date, all of our revenue consists of collaboration revenue, earned from collaboration agreements with Moderna, Ionis and Affini-T. These agreements may include the following types of promised goods or services: (i) grants of licenses, (ii) performance of research and development services, and (iii) participation on joint research and/or development committees. They also may include options to obtain licenses to our intellectual property or to extend the term of the research activities. Our revenues under such collaboration agreements were $0.2 million and $17.2 million for the years ended December 31, 2021 and 2022, respectively.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color w:val="auto"/>
        </w:rPr>
        <w:t>For additional information about our revenue recognition policy related to our collaboration agreements, refer to Note 2 in our audited consolidated financial statements included elsewhere in this prospectus.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operating expenses consist of (i) research and development expenses and (ii) general and administrative expenses.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w:t>
      </w:r>
    </w:p>
    <w:p>
      <w:pPr>
        <w:spacing w:after="0" w:line="129" w:lineRule="exact"/>
        <w:rPr>
          <w:sz w:val="20"/>
          <w:szCs w:val="20"/>
          <w:color w:val="auto"/>
        </w:rPr>
      </w:pPr>
    </w:p>
    <w:p>
      <w:pPr>
        <w:ind w:left="120" w:right="160"/>
        <w:spacing w:after="0" w:line="245" w:lineRule="auto"/>
        <w:rPr>
          <w:sz w:val="20"/>
          <w:szCs w:val="20"/>
          <w:color w:val="auto"/>
        </w:rPr>
      </w:pPr>
      <w:r>
        <w:rPr>
          <w:rFonts w:ascii="Arial" w:cs="Arial" w:eastAsia="Arial" w:hAnsi="Arial"/>
          <w:sz w:val="18"/>
          <w:szCs w:val="18"/>
          <w:color w:val="auto"/>
        </w:rPr>
        <w:t>The largest component of our total operating expenses since our inception has been research and development activities. Research and development expenses consist primarily of compensation and benefits for research and development employees, including unit-</w:t>
      </w:r>
    </w:p>
    <w:p>
      <w:pPr>
        <w:ind w:left="120" w:right="80"/>
        <w:spacing w:after="0"/>
        <w:rPr>
          <w:sz w:val="20"/>
          <w:szCs w:val="20"/>
          <w:color w:val="auto"/>
        </w:rPr>
      </w:pPr>
      <w:r>
        <w:rPr>
          <w:rFonts w:ascii="Arial" w:cs="Arial" w:eastAsia="Arial" w:hAnsi="Arial"/>
          <w:sz w:val="18"/>
          <w:szCs w:val="18"/>
          <w:color w:val="auto"/>
        </w:rPr>
        <w:t>based compensation; the costs of acquiring research and development supplies and services; manufacturing process development costs; the research and development expenses that we share with our collaboration partners for co-development programs; other outside services and consulting costs; and allocated facilities, information technology and overhead expenses. Research and development costs are expensed as incurred.</w:t>
      </w:r>
    </w:p>
    <w:p>
      <w:pPr>
        <w:spacing w:after="0" w:line="113" w:lineRule="exact"/>
        <w:rPr>
          <w:sz w:val="20"/>
          <w:szCs w:val="20"/>
          <w:color w:val="auto"/>
        </w:rPr>
      </w:pPr>
    </w:p>
    <w:p>
      <w:pPr>
        <w:ind w:left="120" w:right="380"/>
        <w:spacing w:after="0" w:line="253" w:lineRule="auto"/>
        <w:rPr>
          <w:sz w:val="20"/>
          <w:szCs w:val="20"/>
          <w:color w:val="auto"/>
        </w:rPr>
      </w:pPr>
      <w:r>
        <w:rPr>
          <w:rFonts w:ascii="Arial" w:cs="Arial" w:eastAsia="Arial" w:hAnsi="Arial"/>
          <w:sz w:val="18"/>
          <w:szCs w:val="18"/>
          <w:color w:val="auto"/>
        </w:rPr>
        <w:t>We have not reported program costs since our inception because we have not historically tracked or recorded our research and development expenses on a program-by-program basis. We use our personnel and infrastructure resources across the breadth of our research and development activities, which are directed toward developing our platform.</w:t>
      </w:r>
    </w:p>
    <w:p>
      <w:pPr>
        <w:spacing w:after="0" w:line="101"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invest in research and development activities related to developing our platform, including investments in manufacturing, as we advance our programs and conduct clinical trials. The process of conducting the necessary clinical research to obtain regulatory approval is costly and time-consuming, and the successful development of our platform is highly uncertain. As a result, we are unable to determine the duration and completion costs of our research and development projects, the costs of related clinical development costs or when and to what extent we will generate revenue from the commercialization of our platform.</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w:t>
      </w:r>
    </w:p>
    <w:p>
      <w:pPr>
        <w:spacing w:after="0" w:line="142"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General and administrative expenses consist primarily of personnel costs, including unit-based compensation expense and other expenses for outside professional services, including legal fees relating to intellectual property and corporate matters; professional fees for accounting, auditing, consulting and tax services; insurance costs; administrative travel expenses; website development costs; marketing and public relations costs; and facilities, information technology and other allocated overhead costs.</w:t>
      </w:r>
    </w:p>
    <w:p>
      <w:pPr>
        <w:spacing w:after="0" w:line="93"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development of our platform and our continued research activities. We also anticipate that we will incur increased accounting, audit, legal, regulatory, compliance and director and officer insurance costs as well as investor and public relations expenses associated with being a public company. We also expect our intellectual property expenses to increase as we expand our intellectual property portfolio.</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Other Income, Net</w:t>
      </w:r>
    </w:p>
    <w:p>
      <w:pPr>
        <w:spacing w:after="0" w:line="129"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8"/>
          <w:szCs w:val="18"/>
          <w:color w:val="auto"/>
        </w:rPr>
        <w:t>Total other income, net includes interest income from our investment in available-for-sale marketable securities, grant income, change in fair value of our investment in the Affini-T convertible note, interest expense on the Moderna convertible note issued in November 2021 and converted into redeemable convertible preferred units in January 2022.</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9" w:lineRule="exact"/>
        <w:rPr>
          <w:sz w:val="20"/>
          <w:szCs w:val="20"/>
          <w:color w:val="auto"/>
        </w:rPr>
      </w:pPr>
    </w:p>
    <w:p>
      <w:pPr>
        <w:ind w:left="120" w:right="520"/>
        <w:spacing w:after="0" w:line="253" w:lineRule="auto"/>
        <w:rPr>
          <w:sz w:val="20"/>
          <w:szCs w:val="20"/>
          <w:color w:val="auto"/>
        </w:rPr>
      </w:pPr>
      <w:r>
        <w:rPr>
          <w:rFonts w:ascii="Arial" w:cs="Arial" w:eastAsia="Arial" w:hAnsi="Arial"/>
          <w:sz w:val="18"/>
          <w:szCs w:val="18"/>
          <w:color w:val="auto"/>
        </w:rPr>
        <w:t>Metagenomi Technologies, LLC is taxed under the provisions of Subchapter K — Partners and Partnerships of the Internal Revenue Code. Under those provisions, Metagenomi Technologies, LLC does not pay federal or state corporate income taxes on its taxable income. Instead, each member includes net operating income or loss for Metagenomi on its individual return.</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53" w:lineRule="auto"/>
        <w:rPr>
          <w:sz w:val="20"/>
          <w:szCs w:val="20"/>
          <w:color w:val="auto"/>
        </w:rPr>
      </w:pPr>
      <w:r>
        <w:rPr>
          <w:rFonts w:ascii="Arial" w:cs="Arial" w:eastAsia="Arial" w:hAnsi="Arial"/>
          <w:sz w:val="18"/>
          <w:szCs w:val="18"/>
          <w:color w:val="auto"/>
        </w:rPr>
        <w:t>The wholly owned subsidiary of Metagenomi Technologies, LLC, Metagenomi Inc., is a corporation for tax purposes and is subject to income taxes. We recognized income tax expense for the year ended December 31, 2022 for domestic federal and state income taxes. After giving effect to this offering, Metagenomi, Inc. will continue as the surviving corporation.</w:t>
      </w:r>
    </w:p>
    <w:p>
      <w:pPr>
        <w:spacing w:after="0" w:line="101"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As of December 31, 2022, we had net operating loss carryforwards of $0.02 million and $8.3 million for federal and state income tax purposes, respectively, available to reduce future taxable income, if any. The federal net operating loss carryforwards do not expire. State net operating loss carryforwards begin expiring in 2037. As of December 31, 2022, we had state research and development credit carryforwards of $2.8 million, which do not expire. As of December 31, 2022, we had no federal research and development credit carryforwards.</w:t>
      </w:r>
    </w:p>
    <w:p>
      <w:pPr>
        <w:spacing w:after="0" w:line="109"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our consolidated entities’ historical operating losses and forecast of future losses, we have provided a full valuation allowance against the deferred tax assets resulting from the tax loss and credits carried forward.</w:t>
      </w:r>
    </w:p>
    <w:p>
      <w:pPr>
        <w:spacing w:after="0" w:line="95"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Utilization of the net operating loss and credit carryforwards may be subject to a substantial annual limitation due to an ownership change limitation as provided by section 382 of the Internal Revenue Code, as amended, and similar state provisions. The annual limitation may result in the expiration of net operating losses and credits before utilization. In the event that we have a change of ownership, utilization of the net operating loss and tax credit carryforwards may be restricted.</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Results of Operations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2021 and 2022</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results of operations for the years ended December 31, 2021 and 2022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Years ended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7"/>
                <w:szCs w:val="17"/>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Change</w:t>
            </w:r>
          </w:p>
        </w:tc>
      </w:tr>
      <w:tr>
        <w:trPr>
          <w:trHeight w:val="183"/>
        </w:trPr>
        <w:tc>
          <w:tcPr>
            <w:tcW w:w="59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gridSpan w:val="2"/>
          </w:tcPr>
          <w:p>
            <w:pPr>
              <w:jc w:val="right"/>
              <w:ind w:right="100"/>
              <w:spacing w:after="0" w:line="183" w:lineRule="exact"/>
              <w:rPr>
                <w:sz w:val="20"/>
                <w:szCs w:val="20"/>
                <w:color w:val="auto"/>
              </w:rPr>
            </w:pPr>
            <w:r>
              <w:rPr>
                <w:rFonts w:ascii="Arial" w:cs="Arial" w:eastAsia="Arial" w:hAnsi="Arial"/>
                <w:sz w:val="16"/>
                <w:szCs w:val="16"/>
                <w:b w:val="1"/>
                <w:bCs w:val="1"/>
                <w:color w:val="auto"/>
              </w:rPr>
              <w:t>2021</w:t>
            </w:r>
          </w:p>
        </w:tc>
        <w:tc>
          <w:tcPr>
            <w:tcW w:w="108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top w:val="single" w:sz="8" w:color="auto"/>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5"/>
                <w:szCs w:val="15"/>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Collaboration revenue</w:t>
            </w:r>
          </w:p>
        </w:tc>
        <w:tc>
          <w:tcPr>
            <w:tcW w:w="2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243</w:t>
            </w:r>
          </w:p>
        </w:tc>
        <w:tc>
          <w:tcPr>
            <w:tcW w:w="1320" w:type="dxa"/>
            <w:vAlign w:val="bottom"/>
            <w:gridSpan w:val="3"/>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$ 17,200</w:t>
            </w:r>
          </w:p>
        </w:tc>
        <w:tc>
          <w:tcPr>
            <w:tcW w:w="96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$ 16,957</w:t>
            </w:r>
          </w:p>
        </w:tc>
        <w:tc>
          <w:tcPr>
            <w:tcW w:w="100" w:type="dxa"/>
            <w:vAlign w:val="bottom"/>
            <w:shd w:val="clear" w:color="auto" w:fill="CCEEFF"/>
          </w:tcPr>
          <w:p>
            <w:pPr>
              <w:spacing w:after="0"/>
              <w:rPr>
                <w:sz w:val="17"/>
                <w:szCs w:val="17"/>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8"/>
                <w:szCs w:val="18"/>
                <w:color w:val="auto"/>
              </w:rPr>
              <w:t>Operating expenses:</w:t>
            </w:r>
          </w:p>
        </w:tc>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2"/>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14,478</w:t>
            </w: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43,139</w:t>
            </w:r>
          </w:p>
        </w:tc>
        <w:tc>
          <w:tcPr>
            <w:tcW w:w="9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28,661</w:t>
            </w: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9,712</w:t>
            </w:r>
          </w:p>
        </w:tc>
        <w:tc>
          <w:tcPr>
            <w:tcW w:w="13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18,701</w:t>
            </w:r>
          </w:p>
        </w:tc>
        <w:tc>
          <w:tcPr>
            <w:tcW w:w="9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8,989</w:t>
            </w:r>
          </w:p>
        </w:tc>
        <w:tc>
          <w:tcPr>
            <w:tcW w:w="100" w:type="dxa"/>
            <w:vAlign w:val="bottom"/>
          </w:tcPr>
          <w:p>
            <w:pPr>
              <w:spacing w:after="0"/>
              <w:rPr>
                <w:sz w:val="17"/>
                <w:szCs w:val="17"/>
                <w:color w:val="auto"/>
              </w:rPr>
            </w:pPr>
          </w:p>
        </w:tc>
      </w:tr>
      <w:tr>
        <w:trPr>
          <w:trHeight w:val="27"/>
        </w:trPr>
        <w:tc>
          <w:tcPr>
            <w:tcW w:w="5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9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operating expenses</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24,190</w:t>
            </w: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61,840</w:t>
            </w:r>
          </w:p>
        </w:tc>
        <w:tc>
          <w:tcPr>
            <w:tcW w:w="9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37,650</w:t>
            </w:r>
          </w:p>
        </w:tc>
        <w:tc>
          <w:tcPr>
            <w:tcW w:w="100" w:type="dxa"/>
            <w:vAlign w:val="bottom"/>
            <w:shd w:val="clear" w:color="auto" w:fill="CCEEFF"/>
          </w:tcPr>
          <w:p>
            <w:pPr>
              <w:spacing w:after="0"/>
              <w:rPr>
                <w:sz w:val="17"/>
                <w:szCs w:val="17"/>
                <w:color w:val="auto"/>
              </w:rPr>
            </w:pPr>
          </w:p>
        </w:tc>
      </w:tr>
      <w:tr>
        <w:trPr>
          <w:trHeight w:val="232"/>
        </w:trPr>
        <w:tc>
          <w:tcPr>
            <w:tcW w:w="5900" w:type="dxa"/>
            <w:vAlign w:val="bottom"/>
          </w:tcPr>
          <w:p>
            <w:pPr>
              <w:spacing w:after="0"/>
              <w:rPr>
                <w:sz w:val="20"/>
                <w:szCs w:val="20"/>
                <w:color w:val="auto"/>
              </w:rPr>
            </w:pPr>
            <w:r>
              <w:rPr>
                <w:rFonts w:ascii="Arial" w:cs="Arial" w:eastAsia="Arial" w:hAnsi="Arial"/>
                <w:sz w:val="18"/>
                <w:szCs w:val="18"/>
                <w:color w:val="auto"/>
              </w:rPr>
              <w:t>Loss from operations</w:t>
            </w:r>
          </w:p>
        </w:tc>
        <w:tc>
          <w:tcPr>
            <w:tcW w:w="19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(23,947)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(44,640)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(20,693)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
        </w:trPr>
        <w:tc>
          <w:tcPr>
            <w:tcW w:w="59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(302)</w:t>
            </w:r>
          </w:p>
        </w:tc>
        <w:tc>
          <w:tcPr>
            <w:tcW w:w="13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(98)</w:t>
            </w:r>
          </w:p>
        </w:tc>
        <w:tc>
          <w:tcPr>
            <w:tcW w:w="9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204</w:t>
            </w: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w:t>
            </w: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3,419</w:t>
            </w:r>
          </w:p>
        </w:tc>
        <w:tc>
          <w:tcPr>
            <w:tcW w:w="9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3,376</w:t>
            </w: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long-term investments</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2,760</w:t>
            </w:r>
          </w:p>
        </w:tc>
        <w:tc>
          <w:tcPr>
            <w:tcW w:w="13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94</w:t>
            </w:r>
          </w:p>
        </w:tc>
        <w:tc>
          <w:tcPr>
            <w:tcW w:w="106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(2,666)</w:t>
            </w: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income, net</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w:t>
            </w: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201</w:t>
            </w:r>
          </w:p>
        </w:tc>
        <w:tc>
          <w:tcPr>
            <w:tcW w:w="9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7"/>
                <w:szCs w:val="17"/>
                <w:color w:val="auto"/>
              </w:rPr>
            </w:pPr>
          </w:p>
        </w:tc>
      </w:tr>
      <w:tr>
        <w:trPr>
          <w:trHeight w:val="216"/>
        </w:trPr>
        <w:tc>
          <w:tcPr>
            <w:tcW w:w="5900" w:type="dxa"/>
            <w:vAlign w:val="bottom"/>
          </w:tcPr>
          <w:p>
            <w:pPr>
              <w:ind w:left="720"/>
              <w:spacing w:after="0"/>
              <w:rPr>
                <w:sz w:val="20"/>
                <w:szCs w:val="20"/>
                <w:color w:val="auto"/>
              </w:rPr>
            </w:pPr>
            <w:r>
              <w:rPr>
                <w:rFonts w:ascii="Arial" w:cs="Arial" w:eastAsia="Arial" w:hAnsi="Arial"/>
                <w:sz w:val="18"/>
                <w:szCs w:val="18"/>
                <w:color w:val="auto"/>
              </w:rPr>
              <w:t>Total other income, net</w:t>
            </w:r>
          </w:p>
        </w:tc>
        <w:tc>
          <w:tcPr>
            <w:tcW w:w="19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provision for income taxes</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(21,442)</w:t>
            </w:r>
          </w:p>
        </w:tc>
        <w:tc>
          <w:tcPr>
            <w:tcW w:w="13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(41,024)</w:t>
            </w:r>
          </w:p>
        </w:tc>
        <w:tc>
          <w:tcPr>
            <w:tcW w:w="106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(19,582)</w:t>
            </w: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Provision for income taxes</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(2,569)</w:t>
            </w:r>
          </w:p>
        </w:tc>
        <w:tc>
          <w:tcPr>
            <w:tcW w:w="106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(2,569)</w:t>
            </w:r>
          </w:p>
        </w:tc>
      </w:tr>
      <w:tr>
        <w:trPr>
          <w:trHeight w:val="27"/>
        </w:trPr>
        <w:tc>
          <w:tcPr>
            <w:tcW w:w="5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(21,442)</w:t>
            </w:r>
          </w:p>
        </w:tc>
        <w:tc>
          <w:tcPr>
            <w:tcW w:w="13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(43,593)</w:t>
            </w:r>
          </w:p>
        </w:tc>
        <w:tc>
          <w:tcPr>
            <w:tcW w:w="106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(22,151)</w:t>
            </w:r>
          </w:p>
        </w:tc>
      </w:tr>
      <w:tr>
        <w:trPr>
          <w:trHeight w:val="20"/>
        </w:trPr>
        <w:tc>
          <w:tcPr>
            <w:tcW w:w="5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59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42"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Our revenue consists of collaboration revenue recognized under our agreements with Moderna, Affini-T and Ionis. We recognize revenue as the performance obligations are satisfied. Collaboration revenue increased by</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$17.0 million, from $0.2 million for the year ended December 31, 2021 to $17.2 million for the year ended December 31, 2022. The increase in collaboration revenue for the year ended December 31, 2022, was primarily driven by a $14.3 million increase in revenue related to the Moderna Agreement as our research and collaboration activities progressed and a $2.7 million increase related to the Affini-T and Ionis agreements, which we entered into in June and November 2022, respectively.</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collaboration revenue for the years ended December 31, 2021 and 2022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Years ended</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8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5"/>
          </w:tcPr>
          <w:p>
            <w:pPr>
              <w:jc w:val="right"/>
              <w:ind w:right="18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7"/>
                <w:szCs w:val="17"/>
                <w:color w:val="auto"/>
              </w:rPr>
            </w:pPr>
          </w:p>
        </w:tc>
        <w:tc>
          <w:tcPr>
            <w:tcW w:w="720" w:type="dxa"/>
            <w:vAlign w:val="bottom"/>
            <w:gridSpan w:val="3"/>
          </w:tcPr>
          <w:p>
            <w:pPr>
              <w:ind w:left="60"/>
              <w:spacing w:after="0"/>
              <w:rPr>
                <w:sz w:val="20"/>
                <w:szCs w:val="20"/>
                <w:color w:val="auto"/>
              </w:rPr>
            </w:pPr>
            <w:r>
              <w:rPr>
                <w:rFonts w:ascii="Arial" w:cs="Arial" w:eastAsia="Arial" w:hAnsi="Arial"/>
                <w:sz w:val="16"/>
                <w:szCs w:val="16"/>
                <w:b w:val="1"/>
                <w:bCs w:val="1"/>
                <w:color w:val="auto"/>
              </w:rPr>
              <w:t>Change</w:t>
            </w:r>
          </w:p>
        </w:tc>
      </w:tr>
      <w:tr>
        <w:trPr>
          <w:trHeight w:val="183"/>
        </w:trPr>
        <w:tc>
          <w:tcPr>
            <w:tcW w:w="8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top w:val="single" w:sz="8" w:color="auto"/>
              <w:bottom w:val="single" w:sz="8" w:color="auto"/>
            </w:tcBorders>
            <w:gridSpan w:val="2"/>
          </w:tcPr>
          <w:p>
            <w:pPr>
              <w:jc w:val="right"/>
              <w:ind w:right="40"/>
              <w:spacing w:after="0" w:line="183" w:lineRule="exact"/>
              <w:rPr>
                <w:sz w:val="20"/>
                <w:szCs w:val="20"/>
                <w:color w:val="auto"/>
              </w:rPr>
            </w:pPr>
            <w:r>
              <w:rPr>
                <w:rFonts w:ascii="Arial" w:cs="Arial" w:eastAsia="Arial" w:hAnsi="Arial"/>
                <w:sz w:val="16"/>
                <w:szCs w:val="16"/>
                <w:b w:val="1"/>
                <w:bCs w:val="1"/>
                <w:color w:val="auto"/>
              </w:rPr>
              <w:t>2021</w:t>
            </w:r>
          </w:p>
        </w:tc>
        <w:tc>
          <w:tcPr>
            <w:tcW w:w="100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r>
        <w:trPr>
          <w:trHeight w:val="196"/>
        </w:trPr>
        <w:tc>
          <w:tcPr>
            <w:tcW w:w="846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Moderna</w:t>
            </w:r>
          </w:p>
        </w:tc>
        <w:tc>
          <w:tcPr>
            <w:tcW w:w="460" w:type="dxa"/>
            <w:vAlign w:val="bottom"/>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99"/>
              </w:rPr>
              <w:t>$243</w:t>
            </w:r>
          </w:p>
        </w:tc>
        <w:tc>
          <w:tcPr>
            <w:tcW w:w="1180" w:type="dxa"/>
            <w:vAlign w:val="bottom"/>
            <w:gridSpan w:val="3"/>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$14,518</w:t>
            </w:r>
          </w:p>
        </w:tc>
        <w:tc>
          <w:tcPr>
            <w:tcW w:w="88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$14,275</w:t>
            </w:r>
          </w:p>
        </w:tc>
        <w:tc>
          <w:tcPr>
            <w:tcW w:w="40" w:type="dxa"/>
            <w:vAlign w:val="bottom"/>
            <w:shd w:val="clear" w:color="auto" w:fill="CCEEFF"/>
          </w:tcPr>
          <w:p>
            <w:pPr>
              <w:spacing w:after="0"/>
              <w:rPr>
                <w:sz w:val="17"/>
                <w:szCs w:val="17"/>
                <w:color w:val="auto"/>
              </w:rPr>
            </w:pPr>
          </w:p>
        </w:tc>
      </w:tr>
      <w:tr>
        <w:trPr>
          <w:trHeight w:val="203"/>
        </w:trPr>
        <w:tc>
          <w:tcPr>
            <w:tcW w:w="8460" w:type="dxa"/>
            <w:vAlign w:val="bottom"/>
          </w:tcPr>
          <w:p>
            <w:pPr>
              <w:ind w:left="360"/>
              <w:spacing w:after="0" w:line="202" w:lineRule="exact"/>
              <w:rPr>
                <w:sz w:val="20"/>
                <w:szCs w:val="20"/>
                <w:color w:val="auto"/>
              </w:rPr>
            </w:pPr>
            <w:r>
              <w:rPr>
                <w:rFonts w:ascii="Arial" w:cs="Arial" w:eastAsia="Arial" w:hAnsi="Arial"/>
                <w:sz w:val="18"/>
                <w:szCs w:val="18"/>
                <w:color w:val="auto"/>
              </w:rPr>
              <w:t>Affini-T</w:t>
            </w:r>
          </w:p>
        </w:tc>
        <w:tc>
          <w:tcPr>
            <w:tcW w:w="20" w:type="dxa"/>
            <w:vAlign w:val="bottom"/>
          </w:tcPr>
          <w:p>
            <w:pPr>
              <w:spacing w:after="0"/>
              <w:rPr>
                <w:sz w:val="17"/>
                <w:szCs w:val="17"/>
                <w:color w:val="auto"/>
              </w:rPr>
            </w:pPr>
          </w:p>
        </w:tc>
        <w:tc>
          <w:tcPr>
            <w:tcW w:w="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2,570</w:t>
            </w:r>
          </w:p>
        </w:tc>
        <w:tc>
          <w:tcPr>
            <w:tcW w:w="8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2,570</w:t>
            </w:r>
          </w:p>
        </w:tc>
        <w:tc>
          <w:tcPr>
            <w:tcW w:w="40" w:type="dxa"/>
            <w:vAlign w:val="bottom"/>
          </w:tcPr>
          <w:p>
            <w:pPr>
              <w:spacing w:after="0"/>
              <w:rPr>
                <w:sz w:val="17"/>
                <w:szCs w:val="17"/>
                <w:color w:val="auto"/>
              </w:rPr>
            </w:pPr>
          </w:p>
        </w:tc>
      </w:tr>
      <w:tr>
        <w:trPr>
          <w:trHeight w:val="203"/>
        </w:trPr>
        <w:tc>
          <w:tcPr>
            <w:tcW w:w="84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Ionis</w:t>
            </w:r>
          </w:p>
        </w:tc>
        <w:tc>
          <w:tcPr>
            <w:tcW w:w="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112</w:t>
            </w:r>
          </w:p>
        </w:tc>
        <w:tc>
          <w:tcPr>
            <w:tcW w:w="8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112</w:t>
            </w:r>
          </w:p>
        </w:tc>
        <w:tc>
          <w:tcPr>
            <w:tcW w:w="40" w:type="dxa"/>
            <w:vAlign w:val="bottom"/>
            <w:shd w:val="clear" w:color="auto" w:fill="CCEEFF"/>
          </w:tcPr>
          <w:p>
            <w:pPr>
              <w:spacing w:after="0"/>
              <w:rPr>
                <w:sz w:val="17"/>
                <w:szCs w:val="17"/>
                <w:color w:val="auto"/>
              </w:rPr>
            </w:pPr>
          </w:p>
        </w:tc>
      </w:tr>
      <w:tr>
        <w:trPr>
          <w:trHeight w:val="210"/>
        </w:trPr>
        <w:tc>
          <w:tcPr>
            <w:tcW w:w="8460" w:type="dxa"/>
            <w:vAlign w:val="bottom"/>
          </w:tcPr>
          <w:p>
            <w:pPr>
              <w:spacing w:after="0"/>
              <w:rPr>
                <w:sz w:val="20"/>
                <w:szCs w:val="20"/>
                <w:color w:val="auto"/>
              </w:rPr>
            </w:pPr>
            <w:r>
              <w:rPr>
                <w:rFonts w:ascii="Arial" w:cs="Arial" w:eastAsia="Arial" w:hAnsi="Arial"/>
                <w:sz w:val="18"/>
                <w:szCs w:val="18"/>
                <w:color w:val="auto"/>
              </w:rPr>
              <w:t>Total collaboration revenue</w:t>
            </w: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$243</w:t>
            </w: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$17,200</w:t>
            </w: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$16,957</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-7620</wp:posOffset>
            </wp:positionV>
            <wp:extent cx="342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Years ended</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6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5"/>
          </w:tcPr>
          <w:p>
            <w:pPr>
              <w:jc w:val="right"/>
              <w:ind w:right="18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r>
      <w:tr>
        <w:trPr>
          <w:trHeight w:val="183"/>
        </w:trPr>
        <w:tc>
          <w:tcPr>
            <w:tcW w:w="66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gridSpan w:val="2"/>
          </w:tcPr>
          <w:p>
            <w:pPr>
              <w:jc w:val="right"/>
              <w:ind w:right="40"/>
              <w:spacing w:after="0" w:line="183" w:lineRule="exact"/>
              <w:rPr>
                <w:sz w:val="20"/>
                <w:szCs w:val="20"/>
                <w:color w:val="auto"/>
              </w:rPr>
            </w:pPr>
            <w:r>
              <w:rPr>
                <w:rFonts w:ascii="Arial" w:cs="Arial" w:eastAsia="Arial" w:hAnsi="Arial"/>
                <w:sz w:val="16"/>
                <w:szCs w:val="16"/>
                <w:b w:val="1"/>
                <w:bCs w:val="1"/>
                <w:color w:val="auto"/>
              </w:rPr>
              <w:t>2021</w:t>
            </w:r>
          </w:p>
        </w:tc>
        <w:tc>
          <w:tcPr>
            <w:tcW w:w="100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5"/>
                <w:szCs w:val="15"/>
                <w:color w:val="auto"/>
              </w:rPr>
            </w:pP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Personnel-related costs</w:t>
            </w:r>
          </w:p>
        </w:tc>
        <w:tc>
          <w:tcPr>
            <w:tcW w:w="16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6,962</w:t>
            </w:r>
          </w:p>
        </w:tc>
        <w:tc>
          <w:tcPr>
            <w:tcW w:w="1180" w:type="dxa"/>
            <w:vAlign w:val="bottom"/>
            <w:gridSpan w:val="3"/>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$22,436</w:t>
            </w:r>
          </w:p>
        </w:tc>
        <w:tc>
          <w:tcPr>
            <w:tcW w:w="92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$15,474</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Laboratory materials and supplies</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3,514</w:t>
            </w:r>
          </w:p>
        </w:tc>
        <w:tc>
          <w:tcPr>
            <w:tcW w:w="11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10,518</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7,004</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Facilities and overhead costs</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3,119</w:t>
            </w:r>
          </w:p>
        </w:tc>
        <w:tc>
          <w:tcPr>
            <w:tcW w:w="11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7,325</w:t>
            </w: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4,206</w:t>
            </w:r>
          </w:p>
        </w:tc>
      </w:tr>
      <w:tr>
        <w:trPr>
          <w:trHeight w:val="210"/>
        </w:trPr>
        <w:tc>
          <w:tcPr>
            <w:tcW w:w="6680" w:type="dxa"/>
            <w:vAlign w:val="bottom"/>
          </w:tcPr>
          <w:p>
            <w:pPr>
              <w:spacing w:after="0" w:line="202" w:lineRule="exact"/>
              <w:rPr>
                <w:sz w:val="20"/>
                <w:szCs w:val="20"/>
                <w:color w:val="auto"/>
              </w:rPr>
            </w:pPr>
            <w:r>
              <w:rPr>
                <w:rFonts w:ascii="Arial" w:cs="Arial" w:eastAsia="Arial" w:hAnsi="Arial"/>
                <w:sz w:val="18"/>
                <w:szCs w:val="18"/>
                <w:color w:val="auto"/>
              </w:rPr>
              <w:t>Other research and development expenses and consulting costs</w:t>
            </w:r>
          </w:p>
        </w:tc>
        <w:tc>
          <w:tcPr>
            <w:tcW w:w="1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883</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2,860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1,977</w:t>
            </w:r>
          </w:p>
        </w:tc>
        <w:tc>
          <w:tcPr>
            <w:tcW w:w="60" w:type="dxa"/>
            <w:vAlign w:val="bottom"/>
          </w:tcPr>
          <w:p>
            <w:pPr>
              <w:spacing w:after="0"/>
              <w:rPr>
                <w:sz w:val="18"/>
                <w:szCs w:val="18"/>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research and development expense</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14,478</w:t>
            </w:r>
          </w:p>
        </w:tc>
        <w:tc>
          <w:tcPr>
            <w:tcW w:w="11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$43,139</w:t>
            </w: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$28,661</w:t>
            </w:r>
          </w:p>
        </w:tc>
      </w:tr>
      <w:tr>
        <w:trPr>
          <w:trHeight w:val="20"/>
        </w:trPr>
        <w:tc>
          <w:tcPr>
            <w:tcW w:w="6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-7620</wp:posOffset>
            </wp:positionV>
            <wp:extent cx="342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10"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color w:val="auto"/>
        </w:rPr>
        <w:t>Research and development expenses increased by $28.7 million, from $14.5 million for the year ended December 31, 2021 to $43.1 million for the year ended December 31, 2022.</w:t>
      </w:r>
    </w:p>
    <w:p>
      <w:pPr>
        <w:spacing w:after="0" w:line="7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Personnel-related costs, including employee payroll and related expenses, increased by $15.5 million, including a $0.7 million increase in unit-based compensation expense, as a result of increased headcount in our research and development organization. Laboratory materials and supplies increased by $7.0 million due to significant expansion of our research and development operations. Facilities and allocated overhead, including rent, repairs and maintenance costs, common facilities and information technology related expenses allocated to research and development increased by $4.2 million as a result of the expansion of our business operations. Other research and development and consulting costs increased by $2.0 million due to increases in external consulting services to support our research and pre-clinical development activities.</w:t>
      </w:r>
    </w:p>
    <w:p>
      <w:pPr>
        <w:spacing w:after="0" w:line="117"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Other research and development and consulting costs include expenses related to the DT Co-Co program under our collaboration agreement with Moderna. Each quarter, a true-up is performed to calculate how much is owed by us or Moderna to equally split the costs incurred during the quarter towards the DT Co-Co program. When Moderna owes a payment to us, we account for this as a reduction of research and development expense. When we owe a payment to Moderna, we account for this as an addition to research and development expense. For the years ended December 31, 2021 and 2022, the total cost true-ups reduced our research and development expenses by $0.2 million and $0.9 million, respectively. Additionally, for the year ended December 31, 2021, $ 5.0 million of the upfront payment received under the Moderna Agreement in November 2021 was allocated to the DT Co-Co program, which was presented as a collaboration advance on our</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5"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consolidated balance sheet. For the years ended December 31, 2021 and 2022, $0.3 million and $3.5 million of this upfront payment was amortized, respectively, to offset our share of the DT Co-Co development costs.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9"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General and administrative expenses increased by $9.0 million, from $9.7 million for the year ended December 31, 2021 to $18.7 million for the year ended December 31, 2022.</w:t>
      </w:r>
    </w:p>
    <w:p>
      <w:pPr>
        <w:spacing w:after="0" w:line="86"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Employee payroll and related expenses increased by $3.3 million, including a $0.7 million increase in unit-based compensation expense, as a result of increase in headcount of our executives and administrative personnel. Expenses related to professional consulting services increased by $4.1 million due to increased spending on consulting and outside services to support our growing operations. Other general and administrative expenses, including insurance, information technology, office supplies, subscriptions and licenses, and other miscellaneous expenses, increased by $1.6 million as we continued expanding our operations to support our business strategy and the development of therapeutic programs utilizing our metagenomics platform.</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Other Income, Net</w:t>
      </w:r>
    </w:p>
    <w:p>
      <w:pPr>
        <w:spacing w:after="0" w:line="142"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Total other income, net, increased by $1.1 million, from $2.5 million net income for the year ended December 31, 2021 to $3.6 million for the year ended December 31, 2022.</w:t>
      </w:r>
    </w:p>
    <w:p>
      <w:pPr>
        <w:spacing w:after="0" w:line="86" w:lineRule="exact"/>
        <w:rPr>
          <w:sz w:val="20"/>
          <w:szCs w:val="20"/>
          <w:color w:val="auto"/>
        </w:rPr>
      </w:pPr>
    </w:p>
    <w:p>
      <w:pPr>
        <w:ind w:left="120" w:right="440"/>
        <w:spacing w:after="0" w:line="275" w:lineRule="auto"/>
        <w:rPr>
          <w:sz w:val="20"/>
          <w:szCs w:val="20"/>
          <w:color w:val="auto"/>
        </w:rPr>
      </w:pPr>
      <w:r>
        <w:rPr>
          <w:rFonts w:ascii="Arial" w:cs="Arial" w:eastAsia="Arial" w:hAnsi="Arial"/>
          <w:sz w:val="17"/>
          <w:szCs w:val="17"/>
          <w:color w:val="auto"/>
        </w:rPr>
        <w:t>Interest income, which includes interest income and amortization of premiums and discounts on our investment in available-for sale marketable securities, increased by $3.4 million from $0.04 million for the year ended December 31, 2021 to $3.4 million for the year ended December 31, 2022, due to increased investment activity and higher interest rates during the year ended December 31, 2022.</w:t>
      </w:r>
    </w:p>
    <w:p>
      <w:pPr>
        <w:spacing w:after="0" w:line="71"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The change in fair value of long-term investments decreased by $2.7 million, from $2.8 million for the year ended December 31, 2021 to $0.1 million for the year ended December 31, 2022, as our investment in the Affini-T convertible promissory note was re-measured at fair value and converted to preferred stock shares of Affini-T in March 2022. For more details on our investment in the Affini-T convertible promissory note, refer to Note 5 in our audited consolidated financial statements included elsewhere in this prospectus.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We recognized an income tax provision of $2.6 million for the year ended December 31, 2022 as a result of our taxable income related to an upfront payment received under the Moderna Agreement and amortization of our research and development expenses under the newly enacted Internal Revenue Code Section 174 (“Section 174”), which became effective on January 1, 2022. Section 174 changed the tax treatment of research and experimentation (R&amp;E) expenditures, which requires the capitalization of R&amp;E expenditures over a period of five years for R&amp;E paid or incurred in the United States and 15 years for R&amp;E paid or incurred outside of the United States. We did not recognize income taxes for the year ended December 31, 2021.</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Liquidity and Capital Resources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42"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Since our inception, we have incurred significant operating losses. We have historically funded our operations primarily through sales of our redeemable convertible preferred units and convertible promissory notes, which generated approximately $351.6 million in aggregate gross proceeds. Additionally, through December 31, 2022, we received approximately $120.0 million upfront cash payments from collaboration and licensing agreements. As of December 31, 2022, we had $362.1 million in cash, cash equivalents and available-for-sale marketable securities.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5"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4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development of our platform. In addition, upon the completion of this offering, we expect to incur additional costs associated with operating as a public company. The timing and amount of our operating expenditures will depend largely on:</w:t>
      </w:r>
    </w:p>
    <w:p>
      <w:pPr>
        <w:spacing w:after="0" w:line="101" w:lineRule="exact"/>
        <w:rPr>
          <w:sz w:val="20"/>
          <w:szCs w:val="20"/>
          <w:color w:val="auto"/>
        </w:rPr>
      </w:pPr>
    </w:p>
    <w:p>
      <w:pPr>
        <w:ind w:left="340" w:hanging="224"/>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timing and progress of research and development, preclinical and clinical development activities;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scope and duration of clinical trials required for regulatory approval of our future product candidates;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any of our future product candidates;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of manufacturing clinical and commercial supplies of our future product candidates;</w:t>
      </w:r>
    </w:p>
    <w:p>
      <w:pPr>
        <w:spacing w:after="0" w:line="144" w:lineRule="exact"/>
        <w:rPr>
          <w:rFonts w:ascii="Arial" w:cs="Arial" w:eastAsia="Arial" w:hAnsi="Arial"/>
          <w:sz w:val="18"/>
          <w:szCs w:val="18"/>
          <w:color w:val="auto"/>
        </w:rPr>
      </w:pPr>
    </w:p>
    <w:p>
      <w:pPr>
        <w:ind w:left="340" w:right="60" w:hanging="224"/>
        <w:spacing w:after="0" w:line="271"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future product candidates for which we receive regulatory approval;</w:t>
      </w:r>
    </w:p>
    <w:p>
      <w:pPr>
        <w:spacing w:after="0" w:line="86" w:lineRule="exact"/>
        <w:rPr>
          <w:rFonts w:ascii="Arial" w:cs="Arial" w:eastAsia="Arial" w:hAnsi="Arial"/>
          <w:sz w:val="18"/>
          <w:szCs w:val="18"/>
          <w:color w:val="auto"/>
        </w:rPr>
      </w:pPr>
    </w:p>
    <w:p>
      <w:pPr>
        <w:ind w:left="340" w:right="460" w:hanging="224"/>
        <w:spacing w:after="0" w:line="271"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 of filing and prosecuting our patent applications, and maintaining and enforcing our patents and other intellectual property rights;</w:t>
      </w:r>
    </w:p>
    <w:p>
      <w:pPr>
        <w:spacing w:after="0" w:line="86" w:lineRule="exact"/>
        <w:rPr>
          <w:rFonts w:ascii="Arial" w:cs="Arial" w:eastAsia="Arial" w:hAnsi="Arial"/>
          <w:sz w:val="18"/>
          <w:szCs w:val="18"/>
          <w:color w:val="auto"/>
        </w:rPr>
      </w:pPr>
    </w:p>
    <w:p>
      <w:pPr>
        <w:ind w:left="340" w:right="220" w:hanging="224"/>
        <w:spacing w:after="0" w:line="253"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future product candidates;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implementation of various computerized informational systems and efforts to enhance operational systems;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expenses incurred to attract, hire and retain skilled personnel;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44"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payers;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44" w:lineRule="exact"/>
        <w:rPr>
          <w:rFonts w:ascii="Arial" w:cs="Arial" w:eastAsia="Arial" w:hAnsi="Arial"/>
          <w:sz w:val="18"/>
          <w:szCs w:val="18"/>
          <w:color w:val="auto"/>
        </w:rPr>
      </w:pPr>
    </w:p>
    <w:p>
      <w:pPr>
        <w:ind w:left="340" w:right="280" w:hanging="224"/>
        <w:spacing w:after="0" w:line="271"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impact of the COVID-19 pandemic, as well as other factors, including economic uncertainty and geopolitical tensions, which may exacerbate the magnitude of the factors discussed above.</w:t>
      </w:r>
    </w:p>
    <w:p>
      <w:pPr>
        <w:spacing w:after="0" w:line="86"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As of December 31, 2022, we had $362.1 million in cash, cash equivalents and available-for-sale marketable securities. We believe that our existing cash, cash equivalents and available-for-sale marketable securities will be sufficient to fund our current operating plan for at least the next 12 months. Based on our current operating plan, we estimate that our existing cash, cash equivalents and available-for-sale marketable securities, together with the estimated net proceeds from this offering, will be sufficient to fund our projected operating</w:t>
      </w:r>
    </w:p>
    <w:p>
      <w:pPr>
        <w:ind w:left="120"/>
        <w:spacing w:after="0" w:line="238" w:lineRule="auto"/>
        <w:rPr>
          <w:sz w:val="20"/>
          <w:szCs w:val="20"/>
          <w:color w:val="auto"/>
        </w:rPr>
      </w:pPr>
      <w:r>
        <w:rPr>
          <w:rFonts w:ascii="Arial" w:cs="Arial" w:eastAsia="Arial" w:hAnsi="Arial"/>
          <w:sz w:val="18"/>
          <w:szCs w:val="18"/>
          <w:color w:val="auto"/>
        </w:rPr>
        <w:t>expenses and capital expenditure requirements into . We have based this estimate on assumptions that may prove to be wrong, and we could exhaust our available capital resources sooner than we expect. We expect that we will require additional funding to: continue our current research development activities; develop, maintain, expand and protect our intellectual property portfolio; further develop our platform; and hire additional research, clinical and scientific personnel. If we receive regulatory approval for any of our product candidates, we expect to incur significant commercialization expenses related to product manufacturing, sales, marketing and distribution, depending on where we choose to commercialize our products.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To the extent that we raise additional capital through the sale of equity or convertible debt securities, ownership interest for existing investors may be materially diluted, and the terms of such securities could include liquidation or other preferences that adversely affect existing investors’ rights as a stockholder.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sources and uses of cash for the periods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8020" w:type="dxa"/>
        <w:tblCellMar>
          <w:top w:w="0" w:type="dxa"/>
          <w:left w:w="0" w:type="dxa"/>
          <w:bottom w:w="0" w:type="dxa"/>
          <w:right w:w="0" w:type="dxa"/>
        </w:tblCellMar>
      </w:tblPr>
      <w:tr>
        <w:trPr>
          <w:trHeight w:val="189"/>
        </w:trPr>
        <w:tc>
          <w:tcPr>
            <w:tcW w:w="780" w:type="dxa"/>
            <w:vAlign w:val="bottom"/>
          </w:tcPr>
          <w:p>
            <w:pPr>
              <w:spacing w:after="0"/>
              <w:rPr>
                <w:sz w:val="16"/>
                <w:szCs w:val="16"/>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Years ended</w:t>
            </w:r>
          </w:p>
        </w:tc>
        <w:tc>
          <w:tcPr>
            <w:tcW w:w="780" w:type="dxa"/>
            <w:vAlign w:val="bottom"/>
          </w:tcPr>
          <w:p>
            <w:pPr>
              <w:spacing w:after="0"/>
              <w:rPr>
                <w:sz w:val="16"/>
                <w:szCs w:val="16"/>
                <w:color w:val="auto"/>
              </w:rPr>
            </w:pPr>
          </w:p>
        </w:tc>
      </w:tr>
      <w:tr>
        <w:trPr>
          <w:trHeight w:val="203"/>
        </w:trPr>
        <w:tc>
          <w:tcPr>
            <w:tcW w:w="780" w:type="dxa"/>
            <w:vAlign w:val="bottom"/>
          </w:tcPr>
          <w:p>
            <w:pPr>
              <w:spacing w:after="0"/>
              <w:rPr>
                <w:sz w:val="17"/>
                <w:szCs w:val="17"/>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r>
      <w:tr>
        <w:trPr>
          <w:trHeight w:val="195"/>
        </w:trPr>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4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699516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ind w:left="120"/>
        <w:spacing w:after="0" w:line="234" w:lineRule="auto"/>
        <w:rPr>
          <w:sz w:val="20"/>
          <w:szCs w:val="20"/>
          <w:color w:val="auto"/>
        </w:rPr>
      </w:pPr>
      <w:r>
        <w:rPr>
          <w:rFonts w:ascii="Arial" w:cs="Arial" w:eastAsia="Arial" w:hAnsi="Arial"/>
          <w:sz w:val="18"/>
          <w:szCs w:val="18"/>
          <w:color w:val="auto"/>
        </w:rPr>
        <w:t>Net cash provided by operating activities</w:t>
      </w:r>
    </w:p>
    <w:p>
      <w:pPr>
        <w:ind w:left="120"/>
        <w:spacing w:after="0" w:line="235" w:lineRule="auto"/>
        <w:rPr>
          <w:sz w:val="20"/>
          <w:szCs w:val="20"/>
          <w:color w:val="auto"/>
        </w:rPr>
      </w:pPr>
      <w:r>
        <w:rPr>
          <w:rFonts w:ascii="Arial" w:cs="Arial" w:eastAsia="Arial" w:hAnsi="Arial"/>
          <w:sz w:val="18"/>
          <w:szCs w:val="18"/>
          <w:color w:val="auto"/>
        </w:rPr>
        <w:t>Net cash used in investing activities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Net (decrease) increase in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50145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7" w:hanging="187"/>
        <w:spacing w:after="0" w:line="234" w:lineRule="auto"/>
        <w:tabs>
          <w:tab w:leader="none" w:pos="187" w:val="left"/>
        </w:tabs>
        <w:numPr>
          <w:ilvl w:val="0"/>
          <w:numId w:val="66"/>
        </w:numPr>
        <w:rPr>
          <w:rFonts w:ascii="Arial" w:cs="Arial" w:eastAsia="Arial" w:hAnsi="Arial"/>
          <w:sz w:val="18"/>
          <w:szCs w:val="18"/>
          <w:color w:val="auto"/>
        </w:rPr>
      </w:pPr>
      <w:r>
        <w:rPr>
          <w:rFonts w:ascii="Arial" w:cs="Arial" w:eastAsia="Arial" w:hAnsi="Arial"/>
          <w:sz w:val="18"/>
          <w:szCs w:val="18"/>
          <w:color w:val="auto"/>
        </w:rPr>
        <w:t>24,257    $  29,724    $  5,467</w:t>
      </w:r>
    </w:p>
    <w:p>
      <w:pPr>
        <w:ind w:left="127"/>
        <w:spacing w:after="0" w:line="234" w:lineRule="auto"/>
        <w:rPr>
          <w:rFonts w:ascii="Arial" w:cs="Arial" w:eastAsia="Arial" w:hAnsi="Arial"/>
          <w:sz w:val="18"/>
          <w:szCs w:val="18"/>
          <w:color w:val="auto"/>
        </w:rPr>
      </w:pPr>
      <w:r>
        <w:rPr>
          <w:rFonts w:ascii="Arial" w:cs="Arial" w:eastAsia="Arial" w:hAnsi="Arial"/>
          <w:sz w:val="18"/>
          <w:szCs w:val="18"/>
          <w:color w:val="auto"/>
        </w:rPr>
        <w:t>(74,316)(122,200)(47,884)</w:t>
      </w:r>
    </w:p>
    <w:p>
      <w:pPr>
        <w:ind w:left="187"/>
        <w:spacing w:after="0"/>
        <w:rPr>
          <w:rFonts w:ascii="Arial" w:cs="Arial" w:eastAsia="Arial" w:hAnsi="Arial"/>
          <w:sz w:val="18"/>
          <w:szCs w:val="18"/>
          <w:color w:val="auto"/>
        </w:rPr>
      </w:pPr>
      <w:r>
        <w:rPr>
          <w:rFonts w:ascii="Arial" w:cs="Arial" w:eastAsia="Arial" w:hAnsi="Arial"/>
          <w:sz w:val="18"/>
          <w:szCs w:val="18"/>
          <w:color w:val="auto"/>
        </w:rPr>
        <w:t>39,922239,594199,672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9030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ind w:left="7"/>
        <w:spacing w:after="0"/>
        <w:tabs>
          <w:tab w:leader="none" w:pos="1046" w:val="left"/>
          <w:tab w:leader="none" w:pos="2206" w:val="left"/>
        </w:tabs>
        <w:rPr>
          <w:sz w:val="20"/>
          <w:szCs w:val="20"/>
          <w:color w:val="auto"/>
        </w:rPr>
      </w:pPr>
      <w:r>
        <w:rPr>
          <w:rFonts w:ascii="Arial" w:cs="Arial" w:eastAsia="Arial" w:hAnsi="Arial"/>
          <w:sz w:val="18"/>
          <w:szCs w:val="18"/>
          <w:u w:val="single" w:color="auto"/>
          <w:color w:val="auto"/>
        </w:rPr>
        <w:t>$(10,137)</w:t>
        <w:tab/>
        <w:t>$ 147,118</w:t>
      </w:r>
      <w:r>
        <w:rPr>
          <w:sz w:val="20"/>
          <w:szCs w:val="20"/>
          <w:color w:val="auto"/>
        </w:rPr>
        <w:tab/>
      </w:r>
      <w:r>
        <w:rPr>
          <w:rFonts w:ascii="Arial" w:cs="Arial" w:eastAsia="Arial" w:hAnsi="Arial"/>
          <w:sz w:val="18"/>
          <w:szCs w:val="18"/>
          <w:u w:val="single" w:color="auto"/>
          <w:color w:val="auto"/>
        </w:rPr>
        <w:t>$157,255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9030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197993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7993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93" w:space="720"/>
            <w:col w:w="3107"/>
          </w:cols>
          <w:pgMar w:left="320" w:top="455" w:right="459" w:bottom="1440" w:gutter="0" w:footer="0" w:header="0"/>
          <w:type w:val="continuous"/>
        </w:sectPr>
      </w:pP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29"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Net cash provided by operating activities for the year ended December 31, 2021 was $24.3 million. This is primarily due to our net loss for the period of $21.4 million adjusted by net non-cash charges of $0.6 million and a net change of $46.3 million in our net operating assets and liabilities. The non-cash charges primarily consisted of $2.8 million for the change in fair value of our investment in the Affini-T convertible note and $0.9 million for non-cash lease expense. The changes in our net operating assets and liabilities primarily consisted of a $44.2 million increase in deferred revenue primarily due to the receipt of an upfront payment under the Moderna Agreement, a $1.9 million increase in accrued expenses and other current liabilities and a $0.7 million increase in accounts payable, partially offset by a $0.5 million increase in prepaid expenses and other current assets.</w:t>
      </w:r>
    </w:p>
    <w:p>
      <w:pPr>
        <w:spacing w:after="0" w:line="117"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Net cash provided by operating activities for the year ended December 31, 2022 was $29.7 million. This was primarily due to our net loss of $43.6 million, adjusted by net non-cash charges of $3.8 million and a net change of $69.5 million in our net operating assets and liabilities. The non-cash charges primarily consisted of $2.0 million of unit-based compensation expense, $1.7 million of depreciation expense and $1.3 million for non-cash lease expense, reduced by $1.1 million for the amortization of the discount on our investment in available-for-sale marketable securities. The changes in our net operating assets and liabilities primarily consisted of a $65.7 million increase in deferred revenue primarily due to the receipt of an upfront payment under the Ionis Agreement, a $4.5 million increase in accrued expenses and other current liabilities, a $1.5 million increase in</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5" w:right="45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color w:val="auto"/>
        </w:rPr>
        <w:t>income tax payable and a $ 1.0 million increase in other non-current liabilities, partially offset by an increase of $2.5 million in prepaid expenses and other current assets and an increase of $1.3 million in contract assets.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29"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Net cash used in investing activities for the year ended December 31, 2021 was $ 74.3 million, which consisted of $69.3 million purchases of available-for-sale marketable securities, $2.9 million purchases of property and equipment and $2.2 million investment in preferred stock of ViTToria Biotherapeutics, Inc.</w:t>
      </w:r>
    </w:p>
    <w:p>
      <w:pPr>
        <w:spacing w:after="0" w:line="101" w:lineRule="exact"/>
        <w:rPr>
          <w:sz w:val="20"/>
          <w:szCs w:val="20"/>
          <w:color w:val="auto"/>
        </w:rPr>
      </w:pPr>
    </w:p>
    <w:p>
      <w:pPr>
        <w:ind w:left="120" w:right="420"/>
        <w:spacing w:after="0" w:line="253" w:lineRule="auto"/>
        <w:rPr>
          <w:sz w:val="20"/>
          <w:szCs w:val="20"/>
          <w:color w:val="auto"/>
        </w:rPr>
      </w:pPr>
      <w:r>
        <w:rPr>
          <w:rFonts w:ascii="Arial" w:cs="Arial" w:eastAsia="Arial" w:hAnsi="Arial"/>
          <w:sz w:val="18"/>
          <w:szCs w:val="18"/>
          <w:color w:val="auto"/>
        </w:rPr>
        <w:t>Net cash used in investing activities for the year ended December 31, 2022 was $122.2 million, which consisted of $214.9 million of purchases of available-for-sale marketable securities, $14.0 million of purchases of property and equipment, partially offset by $106.6 million in proceeds from maturities and sales of available-for-sale marketable securities.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42" w:lineRule="exact"/>
        <w:rPr>
          <w:sz w:val="20"/>
          <w:szCs w:val="20"/>
          <w:color w:val="auto"/>
        </w:rPr>
      </w:pPr>
    </w:p>
    <w:p>
      <w:pPr>
        <w:ind w:left="120" w:right="300"/>
        <w:spacing w:after="0" w:line="253" w:lineRule="auto"/>
        <w:rPr>
          <w:sz w:val="20"/>
          <w:szCs w:val="20"/>
          <w:color w:val="auto"/>
        </w:rPr>
      </w:pPr>
      <w:r>
        <w:rPr>
          <w:rFonts w:ascii="Arial" w:cs="Arial" w:eastAsia="Arial" w:hAnsi="Arial"/>
          <w:sz w:val="18"/>
          <w:szCs w:val="18"/>
          <w:color w:val="auto"/>
        </w:rPr>
        <w:t>Net cash provided by financing activities for the year ended December 31, 2021 was $39.9 million, which consisted of $30.0 million net cash proceeds received from the issuance of a convertible note and $9.9 million net cash proceeds from our issuance of Series A-5 preferred units.</w:t>
      </w:r>
    </w:p>
    <w:p>
      <w:pPr>
        <w:spacing w:after="0" w:line="101"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Net cash provided by financing activities for the year ended December 31, 2022 was $239.6 million, which consisted of net cash proceeds from our issuance of Series B and Series B-1 preferred units.</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Leases</w:t>
      </w:r>
    </w:p>
    <w:p>
      <w:pPr>
        <w:spacing w:after="0" w:line="12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As of December 31, 2022, our future remaining operating lease payments were $3.3 million within the next twelve months and $23.9 million for the remainder of the leases’ terms, with respect to leases already commenced as of such date. In addition, we entered into a lease in November 2022 with a lease commencement date in January 2023, for which we are obligated to make lease payments of $2.9 million in the next twelve months and $46.2 million through March 2031. Refer to Note 10 in our consolidated financial statements included elsewhere in this prospectus for more information on our lease obligations.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135"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in Note 2 to our audited consolidated financial statements included elsewhere in this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Critical Accounting Policies and Significant Judgments and Estimates</w:t>
      </w:r>
    </w:p>
    <w:p>
      <w:pPr>
        <w:spacing w:after="0" w:line="135"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Our management’s discussion and analysis of our consolidated financial condition and results of operations is based on our consolidated financial statements, which have been prepared in accordance with generally accepted accounting principles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an ongoing basis, we evaluate our estimates and judgments, including but not limited to those related to revenue recognition under our collaboration agreements, accrued research and development costs, the fair value of common units and unit-based compensation expense, the valuation of deferred tax assets, and uncertain income tax positions.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w:t>
      </w:r>
    </w:p>
    <w:p>
      <w:pPr>
        <w:spacing w:after="0" w:line="11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While our significant accounting policies are described in more detail in Note 2 to our audited consolidated financial statements included elsewhere in this prospectus, we believe that the following accounting policies are those most critical to the judgments and estimates used in the preparation of our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Arrangements and Revenue Recognition</w:t>
      </w:r>
    </w:p>
    <w:p>
      <w:pPr>
        <w:spacing w:after="0" w:line="14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 xml:space="preserve">We apply judgment to determine whether a collaboration agreement is within the scope of revenue recognition, Accounting Standard Codification Topic 606, </w:t>
      </w:r>
      <w:r>
        <w:rPr>
          <w:rFonts w:ascii="Arial" w:cs="Arial" w:eastAsia="Arial" w:hAnsi="Arial"/>
          <w:sz w:val="18"/>
          <w:szCs w:val="18"/>
          <w:i w:val="1"/>
          <w:iCs w:val="1"/>
          <w:color w:val="auto"/>
        </w:rPr>
        <w:t>Revenue from Contract with Customers</w:t>
      </w:r>
      <w:r>
        <w:rPr>
          <w:rFonts w:ascii="Arial" w:cs="Arial" w:eastAsia="Arial" w:hAnsi="Arial"/>
          <w:sz w:val="18"/>
          <w:szCs w:val="18"/>
          <w:color w:val="auto"/>
        </w:rPr>
        <w:t>, or other accounting guidance at the effective date and throughout the term of the agreement. We perform the following five steps in determining the appropriate amount of revenue to be recognized as we fulfill our obligations under each of these agreements: 1) identification of the promised goods and services in the contract; 2) determination of whether the promised goods or services are performance obligations including whether they are distinct in the context of the contract; 3) measurement of the transaction price, including any constraint on variable consideration; 4) allocation of the transaction price to the performance obligations; and 5) recognition of revenue when, or as, we satisfy each performance obligation.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Promises in collaboration agreements may include (i) grants of licenses, (ii) performance of research and development services, and</w:t>
      </w:r>
    </w:p>
    <w:p>
      <w:pPr>
        <w:spacing w:after="0" w:line="9" w:lineRule="exact"/>
        <w:rPr>
          <w:sz w:val="20"/>
          <w:szCs w:val="20"/>
          <w:color w:val="auto"/>
        </w:rPr>
      </w:pPr>
    </w:p>
    <w:p>
      <w:pPr>
        <w:ind w:left="400" w:hanging="284"/>
        <w:spacing w:after="0"/>
        <w:tabs>
          <w:tab w:leader="none" w:pos="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participation on joint research and/or development committees. They also may include options to obtain licenses to our intellectual</w:t>
      </w:r>
    </w:p>
    <w:p>
      <w:pPr>
        <w:ind w:left="120" w:right="80"/>
        <w:spacing w:after="0" w:line="237" w:lineRule="auto"/>
        <w:rPr>
          <w:rFonts w:ascii="Arial" w:cs="Arial" w:eastAsia="Arial" w:hAnsi="Arial"/>
          <w:sz w:val="18"/>
          <w:szCs w:val="18"/>
          <w:color w:val="auto"/>
        </w:rPr>
      </w:pPr>
      <w:r>
        <w:rPr>
          <w:rFonts w:ascii="Arial" w:cs="Arial" w:eastAsia="Arial" w:hAnsi="Arial"/>
          <w:sz w:val="18"/>
          <w:szCs w:val="18"/>
          <w:color w:val="auto"/>
        </w:rPr>
        <w:t>property or to extend the term of the research activities. We assess whether each promise is a distinct performance obligation and should be accounted for separately or should be combined with other promises into one performance obligation. Judgment is required to determine whether the license to intellectual property is distinct from the research and development services or participation on steering committees. The event-based milestone payments, royalties and cost reimbursements represent variable consideration. We evaluate the probability that the event-based milestones will be achieved and estimates the amount to be included in the transaction price using the most likely amount method. We include cost reimbursement in the transaction price using the expected value method. Unlike other contingency payments, sales-based milestones and royalties are not included in the transaction price based on estimates at the inception of the contract, but rather, are included when sales or usage occur.</w:t>
      </w:r>
    </w:p>
    <w:p>
      <w:pPr>
        <w:spacing w:after="0" w:line="102"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To estimate the transaction price, we include upfront payment and variable consideration, such as research and development milestones, reimbursement for our services,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These estimates are re-assessed each reporting period as required.</w:t>
      </w:r>
    </w:p>
    <w:p>
      <w:pPr>
        <w:spacing w:after="0" w:line="109" w:lineRule="exact"/>
        <w:rPr>
          <w:sz w:val="20"/>
          <w:szCs w:val="20"/>
          <w:color w:val="auto"/>
        </w:rPr>
      </w:pPr>
    </w:p>
    <w:p>
      <w:pPr>
        <w:ind w:left="120" w:right="320"/>
        <w:spacing w:after="0" w:line="253" w:lineRule="auto"/>
        <w:rPr>
          <w:sz w:val="20"/>
          <w:szCs w:val="20"/>
          <w:color w:val="auto"/>
        </w:rPr>
      </w:pPr>
      <w:r>
        <w:rPr>
          <w:rFonts w:ascii="Arial" w:cs="Arial" w:eastAsia="Arial" w:hAnsi="Arial"/>
          <w:sz w:val="18"/>
          <w:szCs w:val="18"/>
          <w:color w:val="auto"/>
        </w:rPr>
        <w:t>After we estimate the transaction price, we allocate it to the identified performance obligations based on the standalone selling price (“SSP”) of each distinct performance obligation. Judgment is required to determine the SSP. In instances where the SSP is not directly observable, such as when a license or service is not sold</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separately, the SSP is determined using information that may include market conditions and other observable inputs. When licenses are combined with other promises, we utilize our judgment to assess the nature of the combined performance obligation to determine whether the combined performance obligation is satisfied over time or at a point in time. If we conclude over time, we recognize revenue based on the measure of progress using an estimated cost-based input method each reporting period. In applying the cost-based input method, we measure actual costs incurred relative to budgeted costs to fulfill our performance obligation. These budgeted costs consist of our employee full-time equivalent hours plus allowable external (third-party) costs incurred. Management applies considerable judgment in estimating expected costs as such costs are key inputs when applying the cost-based input method. We recognize revenue based on actual costs incurred as a percentage of total budgeted costs as we complete a performance obligation applied to the transaction price. A significant change in the estimate of expected costs for the remainder of a contract term could have a material impact on revenue recognized, including the possible reversal of previously recognized revenue, at each reporting period, as well as a related impact on contract assets and liabilities.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2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Research and development expenses are recognized as services are performed and as costs occur. Research and development expense accruals are estimated based on the level of services performed, progress of the work orders, including the phase or completion of events, and contracted costs. We make significant judgments and estimates in determining the accrual balance at each reporting period. If the actual timing of the performance of services or the level of effort varies from the original estimates, we will adjust the accrual accordingly. To date, there have been no material differences between estimates of such expenses and the amounts actually incurred.</w:t>
      </w:r>
    </w:p>
    <w:p>
      <w:pPr>
        <w:spacing w:after="0" w:line="109"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capitalized and recorded in prepaid expenses and other current assets, and then expensed as the related goods are delivered or the services are performed.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Unit-Based Compensation Expense</w:t>
      </w:r>
    </w:p>
    <w:p>
      <w:pPr>
        <w:spacing w:after="0" w:line="142"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Unit-based compensation expense related to the profits interests granted to employees, consultants and our board of managers members is measured at the grant date based on the fair value of the profits interests. Compensation expense for those awards is recognized over the requisite service period, which is generally the vesting period. We use the straight-line method to record the expense of awards with service-based vesting conditions. We account for forfeitures as they occur.</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use the Black-Scholes option-pricing model to determine the fair value of profits interests. The following summarizes the inputs used:</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Common Unit Fair Value </w:t>
      </w:r>
      <w:r>
        <w:rPr>
          <w:rFonts w:ascii="Arial" w:cs="Arial" w:eastAsia="Arial" w:hAnsi="Arial"/>
          <w:sz w:val="18"/>
          <w:szCs w:val="18"/>
          <w:color w:val="auto"/>
        </w:rPr>
        <w:t>— See the subsection titled “—Determination of Fair Value of Common Units” below.</w:t>
      </w:r>
    </w:p>
    <w:p>
      <w:pPr>
        <w:spacing w:after="0" w:line="144"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Expected volatility is estimated by studying the volatility of the prices of shares of common stock of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public companies for similar terms.</w:t>
      </w:r>
    </w:p>
    <w:p>
      <w:pPr>
        <w:spacing w:after="0" w:line="86" w:lineRule="exact"/>
        <w:rPr>
          <w:sz w:val="20"/>
          <w:szCs w:val="20"/>
          <w:color w:val="auto"/>
        </w:rPr>
      </w:pPr>
    </w:p>
    <w:p>
      <w:pPr>
        <w:ind w:left="120" w:right="1020"/>
        <w:spacing w:after="0" w:line="271"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Expected term represents the period that our profits interests are expected to be outstanding and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exit/liquidation term.</w:t>
      </w:r>
    </w:p>
    <w:p>
      <w:pPr>
        <w:spacing w:after="0" w:line="73"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U.S. Treasury zero-coupon bonds issued in effect at the time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for periods corresponding with the expected term of the option.</w:t>
      </w:r>
    </w:p>
    <w:p>
      <w:pPr>
        <w:spacing w:after="0" w:line="86"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 The Black-Scholes valuation model calls for a single expected dividend yield as an input. To date, we have not</w:t>
      </w:r>
      <w:r>
        <w:rPr>
          <w:rFonts w:ascii="Arial" w:cs="Arial" w:eastAsia="Arial" w:hAnsi="Arial"/>
          <w:sz w:val="18"/>
          <w:szCs w:val="18"/>
          <w:i w:val="1"/>
          <w:iCs w:val="1"/>
          <w:color w:val="auto"/>
        </w:rPr>
        <w:t xml:space="preserve"> </w:t>
      </w:r>
      <w:r>
        <w:rPr>
          <w:rFonts w:ascii="Arial" w:cs="Arial" w:eastAsia="Arial" w:hAnsi="Arial"/>
          <w:sz w:val="18"/>
          <w:szCs w:val="18"/>
          <w:color w:val="auto"/>
        </w:rPr>
        <w:t>declared or paid any dividends.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We recorded unit-based compensation expense of $0.4 million and $2.0 million for the years ended December 31, 2021 and 2022, respectively. As of December 31, 2022, there was $5.7 million of total unrecognized compensation expense, which we expect to recognize over a remaining weighted-average period of 3.03 years. We expect to continue to grant these awards in the future, and to the extent that we do, our unit-based compensation expense recognized in future periods will likely increase.</w:t>
      </w:r>
    </w:p>
    <w:p>
      <w:pPr>
        <w:spacing w:after="0" w:line="106" w:lineRule="exact"/>
        <w:rPr>
          <w:sz w:val="20"/>
          <w:szCs w:val="20"/>
          <w:color w:val="auto"/>
        </w:rPr>
      </w:pPr>
    </w:p>
    <w:p>
      <w:pPr>
        <w:ind w:left="120" w:right="180"/>
        <w:spacing w:after="0" w:line="248" w:lineRule="auto"/>
        <w:rPr>
          <w:sz w:val="20"/>
          <w:szCs w:val="20"/>
          <w:color w:val="auto"/>
        </w:rPr>
      </w:pPr>
      <w:r>
        <w:rPr>
          <w:rFonts w:ascii="Arial" w:cs="Arial" w:eastAsia="Arial" w:hAnsi="Arial"/>
          <w:sz w:val="18"/>
          <w:szCs w:val="18"/>
          <w:color w:val="auto"/>
        </w:rPr>
        <w:t>The intrinsic value of all outstanding profits interests as of March 31, 2023 was $ million based on the assumed initial public offering price of $ per share, which is the estimated midpoint of the price range set forth on the cover page of this prospectus, of which approximately $ million was related to vested profits interests and approximately $ million was related to unvested profits interests.</w:t>
      </w: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Determination of Fair Value of Common Units</w:t>
      </w:r>
    </w:p>
    <w:p>
      <w:pPr>
        <w:spacing w:after="0" w:line="14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As there has been no public market for our common units to date, the estimated fair value of our common units has been determined by our board of managers as of the date of each award grant with input from management, considering our most recently available third-party valuations of common unit, and our board of managers’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Our common unit valuation was prepared using the option-pricing method (“OPM”), which used a market approach to estimate our enterprise value. Within the OPM framework, the backsolve method for inferring the total equity value implied by a recent financing transaction involves the construction of an allocation model that takes into account our capital structure and the rights, preferences and privileges of each class of unit then assumes reasonable inputs for the other OPM variables (expected time to liquidity, volatility and risk-free rate). The total equity value is then iterated in the model until the model output value for the equity class sold in a recent financing round equals the price paid in that round. The OPM is generally utilized when specific future liquidity events are difficult to forecast (i.e., the enterprise has many choices and options available), and the enterprise’s value depends on how well it follows an uncharted path through the various possible opportunities and challenges. In determining the estimated fair value of the common stock, our board of managers also considered the fact that the stockholders could not freely trade the common stock in the public markets. Accordingly, we applied discounts to reflect the lack of marketability of its common stock based on the weighted-average expected time to liquidity. The estimated fair value of the common stock at each grant date reflected a non-marketability discount partially based on the anticipated likelihood and timing of a future liquidity event.</w:t>
      </w:r>
    </w:p>
    <w:p>
      <w:pPr>
        <w:spacing w:after="0" w:line="116"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color w:val="auto"/>
        </w:rPr>
        <w:t>In addition to considering the results of independent third-party valuations, our board of managers considered various objective and subjective factors to determine the thresholds for the profits interests as of each grant date, including:</w:t>
      </w:r>
    </w:p>
    <w:p>
      <w:pPr>
        <w:spacing w:after="0" w:line="86" w:lineRule="exact"/>
        <w:rPr>
          <w:sz w:val="20"/>
          <w:szCs w:val="20"/>
          <w:color w:val="auto"/>
        </w:rPr>
      </w:pPr>
    </w:p>
    <w:p>
      <w:pPr>
        <w:ind w:left="340" w:right="580" w:hanging="224"/>
        <w:spacing w:after="0" w:line="271"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prices at which we sold shares of preferred units and the superior rights and preferences of the preferred units relative to our common units at the time of each grant;</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milestones achieved by us;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state of the industry and the economy;</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5"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external market conditions affecting the biopharmaceutical industry and trends within the biopharmaceutical industry;</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144" w:lineRule="exact"/>
        <w:rPr>
          <w:rFonts w:ascii="Arial" w:cs="Arial" w:eastAsia="Arial" w:hAnsi="Arial"/>
          <w:sz w:val="18"/>
          <w:szCs w:val="18"/>
          <w:color w:val="auto"/>
        </w:rPr>
      </w:pPr>
    </w:p>
    <w:p>
      <w:pPr>
        <w:ind w:left="340" w:right="180" w:hanging="224"/>
        <w:spacing w:after="0" w:line="271"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(“IPO”), or our sale in light of prevailing market conditions; and</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144" w:lineRule="exact"/>
        <w:rPr>
          <w:sz w:val="20"/>
          <w:szCs w:val="20"/>
          <w:color w:val="auto"/>
        </w:rPr>
      </w:pPr>
    </w:p>
    <w:p>
      <w:pPr>
        <w:ind w:left="120" w:right="500"/>
        <w:spacing w:after="0" w:line="275" w:lineRule="auto"/>
        <w:rPr>
          <w:sz w:val="20"/>
          <w:szCs w:val="20"/>
          <w:color w:val="auto"/>
        </w:rPr>
      </w:pPr>
      <w:r>
        <w:rPr>
          <w:rFonts w:ascii="Arial" w:cs="Arial" w:eastAsia="Arial" w:hAnsi="Arial"/>
          <w:sz w:val="17"/>
          <w:szCs w:val="17"/>
          <w:color w:val="auto"/>
        </w:rPr>
        <w:t>The assumptions underlying these valuations are highly complex and subjective and represent management’s best estimates, which involved inherent uncertainties and the application of management’s judgment. As a result, if we had used significantly different assumptions or estimates, the fair value of our common unit and our unit-based compensation expense could be materially different.</w:t>
      </w:r>
    </w:p>
    <w:p>
      <w:pPr>
        <w:spacing w:after="0" w:line="84"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Once a public trading market for our common stock has been established in connection with the completion of this offering, it will no longer be necessary for our board of managers to estimate the fair value of our common unit in connection with our accounting for granted profits interests and other such awards we may grant, as the fair value of our common unit or stock will be determined based on the quoted market price of our common unit or stock.</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4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We are taxed under the provisions of Subchapter K - Partners and Partnerships of the Internal Revenue Code. Under those provisions, we do not pay federal or state corporate income taxes on our taxable income. Instead, each member includes net operating income or loss for us on its individual tax return.</w:t>
      </w:r>
    </w:p>
    <w:p>
      <w:pPr>
        <w:spacing w:after="0" w:line="88"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Metagenomi, Inc., our wholly-owned subsidiary, accounts for income taxes using the asset and liability method. We recognize deferred tax assets and liabilities for the expected future tax consequences of events that have been included in our audited consolidated financial statements or tax returns. Deferred tax assets and liabilities are determined based on the difference between the accounting and tax basis of assets and liabilities using enacted tax rates in effect for the year in which the differences are expected to reverse. A valuation allowance is established for deferred tax assets for which it is more likely than not that some portion or all of the deferred tax assets will not be realized. We assess the need for a valuation allowance against our deferred tax assets based on all available evidence, including scheduled reversals of deferred tax liabilities, projected future taxable income, tax planning strategies, results of recent operations, and our historical earnings experience by taxing jurisdiction. Significant judgment is required in making this assessment.</w:t>
      </w:r>
    </w:p>
    <w:p>
      <w:pPr>
        <w:spacing w:after="0" w:line="113"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Tax benefits related to uncertain tax positions are recognized when it is more likely than not that a tax position will be sustained during an audit. Uncertain tax positions are recorded based upon certain recognition and measurement criteria. Significant judgment is required in making this assessment, and, therefore, we re-evaluate uncertain tax positions and consider various factors, including, but not limited to, changes in tax law, the measurement of tax positions taken or expected to be taken in tax returns, and changes in facts or circumstances related to a tax position. We adjust the amount of the liability to reflect any subsequent changes in the relevant facts and circumstances surrounding the uncertain tax positions.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Off-Balance Sheet Arrangements</w:t>
      </w:r>
    </w:p>
    <w:p>
      <w:pPr>
        <w:spacing w:after="0" w:line="148"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in the rules and regulations of the SEC.</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Quantitative and Qualitative Disclosures About Market Risks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42"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The primary objectives of our investment activities are to ensure liquidity and to preserve capital. We are exposed to market risks related to changes in interest rates of our cash equivalents and available-for-sale marketable securities. However, due to the nature of these cash equivalents and available-for-sale marketable securities, we do not believe that a hypothetical 10% increase or decrease in interest rates during any of the periods presented would have had a material effect on our audited consolidated financial statements included elsewhere in this prospectus.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42" w:lineRule="exact"/>
        <w:rPr>
          <w:sz w:val="20"/>
          <w:szCs w:val="20"/>
          <w:color w:val="auto"/>
        </w:rPr>
      </w:pPr>
    </w:p>
    <w:p>
      <w:pPr>
        <w:jc w:val="both"/>
        <w:ind w:left="120" w:right="220"/>
        <w:spacing w:after="0" w:line="253" w:lineRule="auto"/>
        <w:rPr>
          <w:sz w:val="20"/>
          <w:szCs w:val="20"/>
          <w:color w:val="auto"/>
        </w:rPr>
      </w:pPr>
      <w:r>
        <w:rPr>
          <w:rFonts w:ascii="Arial" w:cs="Arial" w:eastAsia="Arial" w:hAnsi="Arial"/>
          <w:sz w:val="18"/>
          <w:szCs w:val="18"/>
          <w:color w:val="auto"/>
        </w:rPr>
        <w:t>Inflation generally affects us by increasing our cost of labor and research and development costs. We do not believe that inflation had a material effect on our business, results of operations, or financial condition, or on our audited consolidated financial statements included elsewhere in this prospectus.</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Emerging Growth Company Status</w:t>
      </w:r>
    </w:p>
    <w:p>
      <w:pPr>
        <w:spacing w:after="0" w:line="148"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We qualify as an “emerging growth company,” as defined in the JOBS Act. As an emerging growth company, we may take advantage of specified reduced disclosure and other requirements that are otherwise applicable generally to public companies. These provisions include: (i) 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 (ii) reduced disclosure about our executive compensation arrangements; (iii) not being required to hold advisory votes on executive compensation or to obtain stockholder approval of any golden parachute arrangements not previously approved; (iv) an exemption from the auditor attestation requirement in the assessment of our internal control over financial reporting pursuant to the Sarbanes-Oxley Act of 2002; and (v) an exemption from compliance with the requirements of the Public Company Accounting Oversight Board regarding the communication of critical audit matters in the auditor’s report on the financial statements.</w:t>
      </w:r>
    </w:p>
    <w:p>
      <w:pPr>
        <w:spacing w:after="0" w:line="10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$1.24 billion or more; (ii) the last day of our fiscal year following the fifth anniversary of the date of the completion of this offering; (iii) the date on which we have issued more than $ 1.0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audited consolidated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BUSINESS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2"/>
          <w:szCs w:val="22"/>
          <w:b w:val="1"/>
          <w:bCs w:val="1"/>
          <w:u w:val="single" w:color="auto"/>
          <w:color w:val="auto"/>
        </w:rPr>
        <w:t>Overview</w:t>
      </w:r>
    </w:p>
    <w:p>
      <w:pPr>
        <w:spacing w:after="0" w:line="14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are a precision genetic medicines company committed to developing curative therapeutics for patients using our proprietary, comprehensive metagenomics-derived genome editing toolbox. Genetic diseases are caused by a diverse set of mutations that have been largely inaccessible by genome engineering approaches to date. Genetic mutations are seen in a variety of forms, including deletions, insertions, single-base-pair changes and sequence repeats, and are found throughout the genome and across a variety of different cell types, tissues, and organ systems. Additionally, many diseases lack a genetic origin but have the potential to be effectively and permanently addressed through genome editing. We are harnessing the power of metagenomics, the study of genetic material recovered from the natural environment, to unlock four billion years of microbial evolution to discover and develop a suite of novel editing tools capable of correcting any type of genetic mutation found anywhere in the genome. Our comprehensive genome editing toolbox includes programmable nucleases, base editors, and RNA and DNA-mediated integration systems (including prime editing systems and clustered regularly interspaced short palindromic repeat (“CRISPR”)-associated transposases (“CASTs”)). We believe our diverse and modular toolbox positions us to uniquely access the entire genome and select the optimal tool to unlock the full potential of genome editing for patients.</w:t>
      </w:r>
    </w:p>
    <w:p>
      <w:pPr>
        <w:spacing w:after="0" w:line="10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company was founded by pioneers in the field of metagenomics, a powerful science that allows us to tap into the diversity of microbial life on this planet. The metagenomics process starts by collecting samples from microbe-rich ecosystems ranging from simple home gardens to extreme locations such as hydrothermal vents below the ocean. We then extract the DNA from these environmental samples and deeply sequence them to fully reconstruct the genomes of the resident microbes. Each sample may include thousands of distinct genomes from previously unknown organisms revealing novel cellular machinery that we utilize as building blocks for our editing systems. Using high-throughput screening, artificial intelligence (“AI”), and proprietary algorithms, we rapidly mine through billions of novel proteins from our genome-resolved metagenomics database to create genome editing tools. To date, we have analyzed over 380 trillion base pairs of DNA sequencing data, predicted over 6 billion proteins, including over 150 million CRISPR-associated (“Cas”) proteins, and identified over 1.4 million CRISPRs, which we estimate has resulted in the identification of over 20,000 novel genome editing systems. We have assembled extensive libraries of millions of nucleases, deaminases, reverse transcriptases (“RTs”) and over one thousand CASTs. Our platform enables us to rapidly and effectively find, screen, and select tools with the highest targetability, specificity, and efficiency in order to develop them into genetic medicines. The iterative nature of our process, underpinned by AI, allows us to continuously push the boundaries of innovation.</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proprietary toolbox of editing systems</w:t>
      </w:r>
    </w:p>
    <w:p>
      <w:pPr>
        <w:spacing w:after="0" w:line="129" w:lineRule="exact"/>
        <w:rPr>
          <w:sz w:val="20"/>
          <w:szCs w:val="20"/>
          <w:color w:val="auto"/>
        </w:rPr>
      </w:pPr>
    </w:p>
    <w:p>
      <w:pPr>
        <w:jc w:val="both"/>
        <w:ind w:left="120" w:right="240"/>
        <w:spacing w:after="0" w:line="253" w:lineRule="auto"/>
        <w:rPr>
          <w:sz w:val="20"/>
          <w:szCs w:val="20"/>
          <w:color w:val="auto"/>
        </w:rPr>
      </w:pPr>
      <w:r>
        <w:rPr>
          <w:rFonts w:ascii="Arial" w:cs="Arial" w:eastAsia="Arial" w:hAnsi="Arial"/>
          <w:sz w:val="18"/>
          <w:szCs w:val="18"/>
          <w:color w:val="auto"/>
        </w:rPr>
        <w:t>We have developed an expansive and modular toolbox of next-generation genome editing systems that will allow us to interact with the human genome in a site-specific manner, where each tool can be matched to specific disease targets. Figure 1 summarizes our diverse and versatile toolbox of different editing capabilities with the potential to address the full spectrum of genetic diseases.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w:t>
      </w:r>
      <w:r>
        <w:rPr>
          <w:rFonts w:ascii="Arial" w:cs="Arial" w:eastAsia="Arial" w:hAnsi="Arial"/>
          <w:sz w:val="18"/>
          <w:szCs w:val="18"/>
          <w:color w:val="auto"/>
        </w:rPr>
        <w:t>. Our Toolbox.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5186045" cy="32486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86045"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Our programmable nucleases are the backbone of our broad set of genome editing tools. These novel nucleases including type II and type V Cas nucleases, of which some are ultra-small systems that we call SMall Arginine-Rich sysTems (“SMART”) nucleases, have unique targeting abilities and can be programmed by guide RNAs (“gRNAs”) to target and cut at specific locations in any genome sequence. Targeted genomic breaks trigger DNA repair pathways that can be used for genome editing, for example, to integrate a gene at a target site (knock-in) or for gene inactivation (knock-down).</w:t>
      </w:r>
    </w:p>
    <w:p>
      <w:pPr>
        <w:spacing w:after="0" w:line="4" w:lineRule="exact"/>
        <w:rPr>
          <w:sz w:val="20"/>
          <w:szCs w:val="20"/>
          <w:color w:val="auto"/>
        </w:rPr>
      </w:pPr>
    </w:p>
    <w:p>
      <w:pPr>
        <w:jc w:val="both"/>
        <w:ind w:left="120" w:right="700"/>
        <w:spacing w:after="0" w:line="242" w:lineRule="auto"/>
        <w:rPr>
          <w:sz w:val="20"/>
          <w:szCs w:val="20"/>
          <w:color w:val="auto"/>
        </w:rPr>
      </w:pPr>
      <w:r>
        <w:rPr>
          <w:rFonts w:ascii="Arial" w:cs="Arial" w:eastAsia="Arial" w:hAnsi="Arial"/>
          <w:sz w:val="18"/>
          <w:szCs w:val="18"/>
          <w:color w:val="auto"/>
        </w:rPr>
        <w:t>Our toolbox contains thousands of CRISPR nucleases with diverse abilities to target different parts of the genome, allowing us to potentially select the ideal nuclease for targeting any given gene in a site-specific manner and overcome a major limitation of first-generation CRISPR/Cas9 systems.</w:t>
      </w:r>
    </w:p>
    <w:p>
      <w:pPr>
        <w:spacing w:after="0" w:line="112"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We also modify our nucleases to either nick the genome (i.e., a nickase that cuts one strand of the DNA) or to simply bind to target sites (i.e., a nuclease dead variant). These capabilities (searching, cutting, nicking, and binding) can be leveraged as a chassis by adding on additional effector enzymes to create base editors for single nucleotide changes, RNA-mediated integration systems for large integrations (“Little RIGS”) (prime editing with small RNA-templated genomic replacements/corrections), and RNA-mediated integration systems for large integrations (“Big RIGS”) for large RNA-templated gene integrations. Using modular engineering, we match nickases with deaminases and RTs for base editing and RNA-mediated integration systems (“RIGS”), respectively. Furthermore, nucleases can be engineered by swapping the search modules of the enzyme to expand the targetability of the chassis, which is critical for site-specific genomic modifications. Given the measured targeting density of our toolbox, we believe that essentially any codon in the human genome could be addressed with our gene editing systems.</w:t>
      </w:r>
    </w:p>
    <w:p>
      <w:pPr>
        <w:spacing w:after="0" w:line="102"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 xml:space="preserve">Our highly active nucleases have gone through extensive preclinical evaluation for both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applications, with demonstration of broad potency of these systems across human primary cells, mouse, and nonhuman primate (“NHP”) models. Our base editors, RIGS, and CAST systems have demonstrated activity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across various cell-based models. In addition to evaluating system activity, we have undertaken detailed characterization of guide-specific on- and off-target effects. We routinely identify guides that have no or minimal verifiable off-target editing, thus overcoming another limitation of first-generation CRISPR/Cas9 systems.</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to overcoming the activity, targetability, and specificity limitations of first-generation systems, our nuclease toolbox was designed to have broad compatibility with viral and nonviral delivery technologies. This compatibility is accomplished by having a variety of nuclease and gRNA structures, which range in terms of their size and biochemistry. For example, small guides for some type V Cas systems streamline manufacturing for delivery by lipid nanoparticle (“LNP”) approaches, and SMART nickases can be used to construct base editors that are small enough to fit within the packaging limitations of adeno-associated viruses (“AAV”). SpCas9, which is currently used in most base editing applications, is roughly three times the size of some of the smallest SMART nickases and cannot be efficiently packaged into a single AAV. Combined, we believe these features will facilitate delivery of our genome editing tools to previously inaccessible tissue types and organ systems.</w:t>
      </w:r>
    </w:p>
    <w:p>
      <w:pPr>
        <w:spacing w:after="0" w:line="11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While nucleases, base editors, and prime editors can precisely address a wide variety of genomic modifications required to treat disease, the fact that many diseases are caused by a multitude of mutations across a gene means that a diverse set of editing tools are required to fully address these patient populations. The integration of a complete and functional gene through targeted genome editing may provide a way in which every patient with a given disease could potentially be treated by a single genetic medicine. Big RIGS and CASTs are novel genome editing systems that are under development to achieve what has been a major challenge for the genome editing field — large, targeted genomic integrations. Initial preclinical readouts conducted in mammalian cells indicate that these systems could potentially have a major impact on how diseases caused by loss-of-function mutations, the most common cause of genetic diseases, can be addressed through genome editing.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Therapeutic translation roadmap and initial programs</w:t>
      </w:r>
    </w:p>
    <w:p>
      <w:pPr>
        <w:spacing w:after="0" w:line="142"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We are taking a stepwise approach deploying our genome editing toolbox to develop potentially curative therapies for patients. Our lead programs are selected to both address important diseases and to establish new standards in targetability, precision, efficiency, and scope of editing capabilities. Figure 2 summarizes the portfolio of programs that we and our partners are advancing, as we aim to match the optimal genome editing tools for each indication. Each of these indications were chosen based on our conviction in the underlying biology, existence of validating preclinical and clinical data, availability of pharmacodynamic and translational tools to assess early proof-of-concept, relevant value supporting outcome measures, and ongoing clinical unmet need. Our lead programs capture an ever-growing set of translational learnings and insights that will inform and accelerate future programs.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5" w:right="4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w:t>
      </w:r>
      <w:r>
        <w:rPr>
          <w:rFonts w:ascii="Arial" w:cs="Arial" w:eastAsia="Arial" w:hAnsi="Arial"/>
          <w:sz w:val="18"/>
          <w:szCs w:val="18"/>
          <w:color w:val="auto"/>
        </w:rPr>
        <w:t>. Therapeutic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103505</wp:posOffset>
            </wp:positionV>
            <wp:extent cx="5203190" cy="2922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0319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Hemophilia A—novel, durable , knock-in approach for expression of Factor VIII</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Hemophilia A is the most common X-linked inherited bleeding disorder and is caused by mutations in the Factor VIII (“FVIII”) gene leading to loss of functional FVIII protein that impacts the body’s ability to form normal clots in response to injury. FVIII is normally produced in the liver within sinusoidal endothelial cells and is then secreted into the bloodstream where it acts as a cofactor for the catalytic activation of Factor X in the clotting pathway. The lack of functional FVIII disrupts the normal clotting cascade and predisposes patients to increased risk of bleeding, either spontaneously or in response to injury or surgery. Repeated bleeding episodes in joints or soft tissues can lead to progressive joint damage, inflammation, pain, and mobility impairment. Intracranial bleeding is of greatest concern as this can be rapidly fatal or lead to major morbidity.</w:t>
      </w:r>
    </w:p>
    <w:p>
      <w:pPr>
        <w:spacing w:after="0" w:line="104" w:lineRule="exact"/>
        <w:rPr>
          <w:sz w:val="20"/>
          <w:szCs w:val="20"/>
          <w:color w:val="auto"/>
        </w:rPr>
      </w:pPr>
    </w:p>
    <w:p>
      <w:pPr>
        <w:ind w:left="120" w:right="120"/>
        <w:spacing w:after="0" w:line="254" w:lineRule="auto"/>
        <w:rPr>
          <w:sz w:val="20"/>
          <w:szCs w:val="20"/>
          <w:color w:val="auto"/>
        </w:rPr>
      </w:pPr>
      <w:r>
        <w:rPr>
          <w:rFonts w:ascii="Arial" w:cs="Arial" w:eastAsia="Arial" w:hAnsi="Arial"/>
          <w:sz w:val="17"/>
          <w:szCs w:val="17"/>
          <w:color w:val="auto"/>
        </w:rPr>
        <w:t>The standard of care for patients with severe hemophilia A, involves lifelong repeated intravenous (“IV”) infusions of recombinant FVIII preparations prophylactically and in response to bleeding events. The major limitation of this approach is fluctuating FVIII activity levels, with trough values that can still result in breakthrough microscopic and macroscopic bleeding events, particularly within sensitive and previously damaged joints. Additionally, frequent FVIII infusions are inconvenient, which can be associated with suboptimal compliance, and in some patients result in inhibitor formation (antibodies against FVIII) that compromise efficacy. More recently, emicizumab, a bispecific antibody, has been approved for hemophilia A in the United States. Valoctocogene roxaparvovec, the first hemophilia A gene therapy, was conditionally approved for use in Europe in August 2022 and was approved in the United States in June 2023. This genetic medicine delivers a FVIII gene construct to the liver using an AAV vector; however, longitudinal clinical data has demonstrated that FVIII levels drop over time. Importantly, AAV gene therapy is also not a feasible treatment approach for infants or children due to the high degree of liver growth during pre-adulthood that would dilute out the episomal FVIII levels during progressive rounds of liver cell division.</w:t>
      </w:r>
    </w:p>
    <w:p>
      <w:pPr>
        <w:spacing w:after="0" w:line="105"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color w:val="auto"/>
        </w:rPr>
        <w:t>Rather than provide the FVIII gene in an episomal location, which risks dilution from cell division or cell death as well as episomal transcriptional silencing, our approach is to insert a FVIII DNA cassette into a "safe harbor</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60"/>
          </w:cols>
          <w:pgMar w:left="320" w:top="455" w:right="5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location," within an intron of the albumin gene that is not expected to have deleterious effects. FVIII expression is then driven off the strength of the native albumin promoter. This approach has previously been demonstrated in preclinical studies to lead to therapeutically relevant expression of a different clotting factor (Factor IX) with negligible impact to systemic circulating albumin levels. Our FVIII knock-in approach is designed to provide stable expression and clinically relevant circulating levels of FVIII, even at low integration rates because of the strength of the albumin promoter. We have demonstrated the feasibility of the FVIII gene knock-in approach in mice with several mouse specific guides and different FVIII DNA donor cassettes, with integration of the FVIII gene leading to FVIII mRNA expression and therapeutically relevant levels of FVIII protein in the blood. We are finalizing donor DNA cassette optimization and performing our next set of NHP studies to demonstrate and quantify FVIII integration and protein expression. In parallel, we are manufacturing mRNA, gRNA, AAV and LNP to support future IND enabling studies. We expect to select a final development candidate in the first half of 2024 and initiate IND-enabling GLP studies thereafter.</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Primary Hyperoxaluria, Type 1 (“PH1”)—a durable knockdown of HAO1 for substrate reduction therapy</w:t>
      </w:r>
    </w:p>
    <w:p>
      <w:pPr>
        <w:spacing w:after="0" w:line="129"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PH1 is a rare autosomal recessive metabolic disease arising from loss of function mutations in the alanine-glyoxylate aminotransferase (“AGXT”) gene that encodes alanine glyoxylate aminotransferase. This enzyme is found in peroxisomes of the liver where it catalyzes the conversion of glyoxylate to glycine and pyruvate. Lack of functional AGXT leads to an accumulation of glyoxylate substrate, which is then converted to oxalate and excreted in the kidney. The excess urinary oxalate forms an insoluble complex with urinary calcium that leads to the production of calcium oxalate crystal precipitates. This pathologic process results in the formation of repeated calcium oxalate urolithiasis and nephrolithiasis, which in turn leads to obstructive uropathy, inflammation, fibrosis, tubular toxicity, and progressive loss of kidney function. PH1 is a serious disease that causes kidney failure. More than 70% of individuals with PH1 mutations will develop end-stage renal disease, with a median age in young adulthood.</w:t>
      </w:r>
    </w:p>
    <w:p>
      <w:pPr>
        <w:spacing w:after="0" w:line="11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Until recently, the standard of care for treating PH1 was primarily supportive in nature, with hydration and diuretics used to reduce urinary oxalate concentration, pyridoxine (vitamin B6) to enhance residual function of alanine glyoxylate aminotransferase catalytic activity, and hemodialysis once renal function progressed to end stage. More recently, the standard of care has been updated to include treatment with lumasiran, a small interfering RNA (“siRNA”) therapeutic approved in adults and children with PH1 that acts to reduce the levels of urinary oxalate. Using a therapeutic approach known as substrate reduction therapy, lumasiran targets mRNA from a separate gene, HAO1, that encodes glycolate oxidase (“GO”). Lumasiran has been generally well tolerated in clinical studies of adults and children with PH1 but as a siRNA therapy, it requires repeat subcutaneous administration indefinitely in order to maintain its effect.</w:t>
      </w:r>
    </w:p>
    <w:p>
      <w:pPr>
        <w:spacing w:after="0" w:line="117"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The goal of our genome editing approach is to durably knock down HAO1 resulting in stable and permanent reduction of oxalate levels to effect a lifelong benefit. We have performed nuclease and guide screening to select an optimal nuclease and gRNA combination. Along with our partner ModernaTX, Inc. (“Moderna”) we have achieved preclinical proof-of-concept in an AGXT knock-out mouse which is an accepted disease model of PH1. We are in the final stages of confirming the candidate to take into NHP studies and are scheduled to begin NHP studies in 2023 to support final development candidate selection thereafter.</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Transthyretin Amyloidosis—a single treatment to eliminate TTR gene expression</w:t>
      </w:r>
    </w:p>
    <w:p>
      <w:pPr>
        <w:spacing w:after="0" w:line="14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Transthyretin amyloidosis is a disease of misfolded and aggregated transthyretin (“TTR”) protein that can deposit in tissues causing organ dysfunction, primarily in the heart and/or peripheral nerves. The TTR protein is normally produced in the liver and circulates in a homotetramer (four copies of the same TTR protein bound</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5" w:right="4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together) where it serves as a carrier protein for vitamin A and thyroxine. Certain mutations have been identified that can cause TTR homotetramers to fall apart, misfold, and aggregate into insoluble fibrils that deposit in cardiac tissue and peripheral nerves. However, more commonly, the normal aging process is associated with an increased propensity for TTR misfolding and aggregation in the heart without any known genetic sequence variation. These distinctions lead to TTR amyloidosis being characterized as either hATTR caused by mutations in TTR, or ATTRwt. It is estimated that globally there are approximately 50,000 patients with hATTR and between 300,000 and 500,000 patients with ATTRwt. Among the larger ATTRwt patient population, the most common presentation is a rapidly progressive, restrictive, and hypertrophic cardiomyopathy due to progressive deposition of insoluble TTR fibrils, which result in thickening of the myocardium and stiffening of the ventricles. These pathologic processes lead to impaired diastolic function and progressive cardiomyopathy that typically leads to progressive heart failure and often death within three to five years from disease onset. Although cardiac manifestations are more common and severe, patients with neurologic manifestations also experience significant morbidity, loss of functionality, and impaired quality of life.</w:t>
      </w:r>
    </w:p>
    <w:p>
      <w:pPr>
        <w:spacing w:after="0" w:line="118"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To date, treatment options for patients with TTR amyloidosis, including those with either cardiomyopathy or polyneuropathy manifestations, consist of efforts to stabilize the TTR tetramer with a small molecule (tafamadis), or knock down TTR levels through antisense oligonucleotides (i.e., inotersen and eplontersen which is currently under regulatory review in the U.S.) or siRNA strategies (i.e., patisiran and vutrisiran). Although these approaches have improved clinical outcomes for patients with TTR amyloidosis, the disease is still associated with significant morbidity and mortality and requires lifelong therapy to maintain therapeutic benefit.</w:t>
      </w:r>
    </w:p>
    <w:p>
      <w:pPr>
        <w:spacing w:after="0" w:line="109"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 xml:space="preserve">Using our novel nucleases, we aim to provide efficient TTR knockdown and halt further deposition of amyloid fibrils. Previous experience suggests a clinical correlation between the degree of TTR knockdown and potential for benefit in familial forms of the disease, which are expected to translate similarly to wild type forms. The high degree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editing efficiency and specificity of our nuclease platform suggest the potential for a single treatment to eliminate TTR gene expression and remove the requirement for life-long therapy. Along with our partner Ionis Pharmaceuticals, Inc. (“Ionis”), we are currently in advanced stages of nuclease and guide selection and expect to move into NHP studies in 2024.</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Further areas of therapeutic activity and interest</w:t>
      </w:r>
    </w:p>
    <w:p>
      <w:pPr>
        <w:spacing w:after="0" w:line="142"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In parallel with our translation efforts in our lead programs using our novel programmable nucleases to knock-in or knock-down gene expression in liver-associated targets, we are developing more complex editing systems for liver associated targets as well as moving beyond the liver. Given that our genome editing toolbox contains small editing systems designed to be amenable to viral vector delivery, and given the progress established in targeting the central nervous system and muscle with established AAV capsids, our first extrahepatic indications will be neurodegenerative and neuromuscular diseases.</w:t>
      </w:r>
    </w:p>
    <w:p>
      <w:pPr>
        <w:spacing w:after="0" w:line="95"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Building on our experience delivering our nucleases to the liver via LNP systems, we are extending that experience delivering novel RIGS to the liver to potentially correct ATP7B mutations in Wilson’s disease and PiZ mutations in alpha-1-antitrypsin deficiency (“A1AT deficiency”). We are also exploring addressing A1AT deficiency via a base editor approach given the predominant mutation involves a single base pair. Both of these liver diseases have well-defined biology, readily available translational biomarkers for early proof-of-concept, established development pathways based on prior drug approvals, and important unmet medical needs.</w:t>
      </w:r>
    </w:p>
    <w:p>
      <w:pPr>
        <w:spacing w:after="0" w:line="109"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Building on our experience with our novel type II and type V programmable nucleases, we are extending that experience by working to deliver these nucleases via AAV to the central nervous system to potentially knock</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5" w:right="4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down genetic targets important for both spontaneous and familial amyotrophic lateral sclerosis (SOD1, ATXN2) and Charcot-Marie-Tooth Type 1a (PMP22). In addition, we are working to address a series of mutations common in Duchenne Muscular Dystrophy with our programmable nucleases through exon skipping approaches. In diseases outside of the liver, we intend to initially leverage known biology and clinical validation achieved with RNA-targeted approaches like antisense and siRNA to advance more potent and definitive one-time genome editing treatments.</w:t>
      </w:r>
    </w:p>
    <w:p>
      <w:pPr>
        <w:spacing w:after="0" w:line="109"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Building on our experience with both knock-in gene expression and smaller gene corrections with RIGS, we are progressing our larger RNA- and DNA-mediated integration systems to potentially provide a single curative approach to cystic fibrosis. As opposed to currently-available therapies limited to subsets of patients with individual mutations, we intend to deliver a full copy of a functional cystic fibrosis transmembrane conductance regulator (“CFTR”) gene. This approach can similarly be pursued across many other diseases characterized by loss of function mutations.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u w:val="single" w:color="auto"/>
          <w:color w:val="auto"/>
        </w:rPr>
        <w:t>Our Team</w:t>
      </w:r>
    </w:p>
    <w:p>
      <w:pPr>
        <w:spacing w:after="0" w:line="148"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We have assembled a world-class team that is driven by a passion to create potentially curative genetic medicines through the discovery of novel genome editing technologies by harnessing the power of metagenomics. Key members of our executive and leadership team include:</w:t>
      </w:r>
    </w:p>
    <w:p>
      <w:pPr>
        <w:spacing w:after="0" w:line="101" w:lineRule="exact"/>
        <w:rPr>
          <w:sz w:val="20"/>
          <w:szCs w:val="20"/>
          <w:color w:val="auto"/>
        </w:rPr>
      </w:pPr>
    </w:p>
    <w:p>
      <w:pPr>
        <w:ind w:left="340" w:hanging="224"/>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Brian C. Thomas, Ph.D., Chief Executive Officer and Founder</w:t>
      </w:r>
      <w:r>
        <w:rPr>
          <w:rFonts w:ascii="Arial" w:cs="Arial" w:eastAsia="Arial" w:hAnsi="Arial"/>
          <w:sz w:val="18"/>
          <w:szCs w:val="18"/>
          <w:color w:val="auto"/>
        </w:rPr>
        <w:t>, prior to co-founding the company, Dr. Thomas spent more than</w:t>
      </w:r>
    </w:p>
    <w:p>
      <w:pPr>
        <w:spacing w:after="0" w:line="13" w:lineRule="exact"/>
        <w:rPr>
          <w:rFonts w:ascii="Arial" w:cs="Arial" w:eastAsia="Arial" w:hAnsi="Arial"/>
          <w:sz w:val="18"/>
          <w:szCs w:val="18"/>
          <w:color w:val="auto"/>
        </w:rPr>
      </w:pPr>
    </w:p>
    <w:p>
      <w:pPr>
        <w:ind w:left="340" w:right="220"/>
        <w:spacing w:after="0" w:line="250" w:lineRule="auto"/>
        <w:rPr>
          <w:rFonts w:ascii="Arial" w:cs="Arial" w:eastAsia="Arial" w:hAnsi="Arial"/>
          <w:sz w:val="18"/>
          <w:szCs w:val="18"/>
          <w:color w:val="auto"/>
        </w:rPr>
      </w:pPr>
      <w:r>
        <w:rPr>
          <w:rFonts w:ascii="Arial" w:cs="Arial" w:eastAsia="Arial" w:hAnsi="Arial"/>
          <w:sz w:val="18"/>
          <w:szCs w:val="18"/>
          <w:color w:val="auto"/>
        </w:rPr>
        <w:t>20 years in academic research at UC Berkeley helping to pioneer the field of metagenomics. Dr. Thomas has been cited over 16,000 times and listed as an inventor in 28 patent families.</w:t>
      </w:r>
    </w:p>
    <w:p>
      <w:pPr>
        <w:spacing w:after="0" w:line="104" w:lineRule="exact"/>
        <w:rPr>
          <w:rFonts w:ascii="Arial" w:cs="Arial" w:eastAsia="Arial" w:hAnsi="Arial"/>
          <w:sz w:val="18"/>
          <w:szCs w:val="18"/>
          <w:color w:val="auto"/>
        </w:rPr>
      </w:pPr>
    </w:p>
    <w:p>
      <w:pPr>
        <w:ind w:left="340" w:right="180" w:hanging="224"/>
        <w:spacing w:after="0" w:line="253"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Jian Irish, Ph.D., President and Chief Operating Officer</w:t>
      </w:r>
      <w:r>
        <w:rPr>
          <w:rFonts w:ascii="Arial" w:cs="Arial" w:eastAsia="Arial" w:hAnsi="Arial"/>
          <w:sz w:val="18"/>
          <w:szCs w:val="18"/>
          <w:color w:val="auto"/>
        </w:rPr>
        <w:t>, has held biopharma executive leadership roles for nearly 20 years at Kite</w:t>
      </w:r>
      <w:r>
        <w:rPr>
          <w:rFonts w:ascii="Arial" w:cs="Arial" w:eastAsia="Arial" w:hAnsi="Arial"/>
          <w:sz w:val="18"/>
          <w:szCs w:val="18"/>
          <w:b w:val="1"/>
          <w:bCs w:val="1"/>
          <w:color w:val="auto"/>
        </w:rPr>
        <w:t xml:space="preserve"> </w:t>
      </w:r>
      <w:r>
        <w:rPr>
          <w:rFonts w:ascii="Arial" w:cs="Arial" w:eastAsia="Arial" w:hAnsi="Arial"/>
          <w:sz w:val="18"/>
          <w:szCs w:val="18"/>
          <w:color w:val="auto"/>
        </w:rPr>
        <w:t>Pharma / Gilead, Sanofi, and Amgen in drug development and global operations, and has helped launch several breakthrough medicines.</w:t>
      </w:r>
    </w:p>
    <w:p>
      <w:pPr>
        <w:spacing w:after="0" w:line="101" w:lineRule="exact"/>
        <w:rPr>
          <w:rFonts w:ascii="Arial" w:cs="Arial" w:eastAsia="Arial" w:hAnsi="Arial"/>
          <w:sz w:val="18"/>
          <w:szCs w:val="18"/>
          <w:color w:val="auto"/>
        </w:rPr>
      </w:pPr>
    </w:p>
    <w:p>
      <w:pPr>
        <w:ind w:left="340" w:right="320" w:hanging="224"/>
        <w:spacing w:after="0" w:line="253"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Sarah Noonberg, M.D., Ph.D., Chief Medical Officer</w:t>
      </w:r>
      <w:r>
        <w:rPr>
          <w:rFonts w:ascii="Arial" w:cs="Arial" w:eastAsia="Arial" w:hAnsi="Arial"/>
          <w:sz w:val="18"/>
          <w:szCs w:val="18"/>
          <w:color w:val="auto"/>
        </w:rPr>
        <w:t>, has spent more than 20 years in translational and clinical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roles with a track record of advancing therapeutic programs from discovery to commercialization, including at Medivation and BioMarin.</w:t>
      </w:r>
    </w:p>
    <w:p>
      <w:pPr>
        <w:spacing w:after="0" w:line="101" w:lineRule="exact"/>
        <w:rPr>
          <w:rFonts w:ascii="Arial" w:cs="Arial" w:eastAsia="Arial" w:hAnsi="Arial"/>
          <w:sz w:val="18"/>
          <w:szCs w:val="18"/>
          <w:color w:val="auto"/>
        </w:rPr>
      </w:pPr>
    </w:p>
    <w:p>
      <w:pPr>
        <w:ind w:left="340" w:right="140" w:hanging="224"/>
        <w:spacing w:after="0" w:line="253"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Alan Brooks, Ph.D., SVP of Preclinical</w:t>
      </w:r>
      <w:r>
        <w:rPr>
          <w:rFonts w:ascii="Arial" w:cs="Arial" w:eastAsia="Arial" w:hAnsi="Arial"/>
          <w:sz w:val="18"/>
          <w:szCs w:val="18"/>
          <w:color w:val="auto"/>
        </w:rPr>
        <w:t>, has worked on genetic medicines providing scientific leadership in translational research for</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25 years, including at Casebia Therapeutics and Bayer Healthcare. Dr. Brooks’ research has led to 20 publications and numerous patent filings.</w:t>
      </w:r>
    </w:p>
    <w:p>
      <w:pPr>
        <w:spacing w:after="0" w:line="101" w:lineRule="exact"/>
        <w:rPr>
          <w:rFonts w:ascii="Arial" w:cs="Arial" w:eastAsia="Arial" w:hAnsi="Arial"/>
          <w:sz w:val="18"/>
          <w:szCs w:val="18"/>
          <w:color w:val="auto"/>
        </w:rPr>
      </w:pPr>
    </w:p>
    <w:p>
      <w:pPr>
        <w:ind w:left="340" w:hanging="224"/>
        <w:spacing w:after="0" w:line="253"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Simon Harnest, Chief Investment Officer and SVP of Strategy</w:t>
      </w:r>
      <w:r>
        <w:rPr>
          <w:rFonts w:ascii="Arial" w:cs="Arial" w:eastAsia="Arial" w:hAnsi="Arial"/>
          <w:sz w:val="18"/>
          <w:szCs w:val="18"/>
          <w:color w:val="auto"/>
        </w:rPr>
        <w:t>, has held leadership roles in corporate finance and strategy in the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sciences sector, having raised over $1bn in public and private capital, including leading Cellectis’ U.S. IPO and subsequent spin-out and IPO of Calyxt.</w:t>
      </w:r>
    </w:p>
    <w:p>
      <w:pPr>
        <w:spacing w:after="0" w:line="101" w:lineRule="exact"/>
        <w:rPr>
          <w:rFonts w:ascii="Arial" w:cs="Arial" w:eastAsia="Arial" w:hAnsi="Arial"/>
          <w:sz w:val="18"/>
          <w:szCs w:val="18"/>
          <w:color w:val="auto"/>
        </w:rPr>
      </w:pPr>
    </w:p>
    <w:p>
      <w:pPr>
        <w:ind w:left="340" w:right="140" w:hanging="224"/>
        <w:spacing w:after="0" w:line="253"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Christopher T. Brown, Ph.D., VP of Discovery, </w:t>
      </w:r>
      <w:r>
        <w:rPr>
          <w:rFonts w:ascii="Arial" w:cs="Arial" w:eastAsia="Arial" w:hAnsi="Arial"/>
          <w:sz w:val="18"/>
          <w:szCs w:val="18"/>
          <w:color w:val="auto"/>
        </w:rPr>
        <w:t>is a former scientist at the Jillian F. Banfield laboratory at UC Berkeley and an expert</w:t>
      </w:r>
      <w:r>
        <w:rPr>
          <w:rFonts w:ascii="Arial" w:cs="Arial" w:eastAsia="Arial" w:hAnsi="Arial"/>
          <w:sz w:val="18"/>
          <w:szCs w:val="18"/>
          <w:b w:val="1"/>
          <w:bCs w:val="1"/>
          <w:color w:val="auto"/>
        </w:rPr>
        <w:t xml:space="preserve"> </w:t>
      </w:r>
      <w:r>
        <w:rPr>
          <w:rFonts w:ascii="Arial" w:cs="Arial" w:eastAsia="Arial" w:hAnsi="Arial"/>
          <w:sz w:val="18"/>
          <w:szCs w:val="18"/>
          <w:color w:val="auto"/>
        </w:rPr>
        <w:t>in using metagenomics to discover novel microbial systems for use in genome editing. Dr. Brown’s research has resulted in over 35 publications and over 20 patent family filings.</w:t>
      </w:r>
    </w:p>
    <w:p>
      <w:pPr>
        <w:spacing w:after="0" w:line="101" w:lineRule="exact"/>
        <w:rPr>
          <w:rFonts w:ascii="Arial" w:cs="Arial" w:eastAsia="Arial" w:hAnsi="Arial"/>
          <w:sz w:val="18"/>
          <w:szCs w:val="18"/>
          <w:color w:val="auto"/>
        </w:rPr>
      </w:pPr>
    </w:p>
    <w:p>
      <w:pPr>
        <w:ind w:left="340" w:right="180" w:hanging="224"/>
        <w:spacing w:after="0" w:line="271"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Simren Delaney, Ph.D., LLM, VP of Legal, </w:t>
      </w:r>
      <w:r>
        <w:rPr>
          <w:rFonts w:ascii="Arial" w:cs="Arial" w:eastAsia="Arial" w:hAnsi="Arial"/>
          <w:sz w:val="18"/>
          <w:szCs w:val="18"/>
          <w:color w:val="auto"/>
        </w:rPr>
        <w:t>is specialized in Intellectual Property and Patent law, having previously worked at Wilson</w:t>
      </w:r>
      <w:r>
        <w:rPr>
          <w:rFonts w:ascii="Arial" w:cs="Arial" w:eastAsia="Arial" w:hAnsi="Arial"/>
          <w:sz w:val="18"/>
          <w:szCs w:val="18"/>
          <w:b w:val="1"/>
          <w:bCs w:val="1"/>
          <w:color w:val="auto"/>
        </w:rPr>
        <w:t xml:space="preserve"> </w:t>
      </w:r>
      <w:r>
        <w:rPr>
          <w:rFonts w:ascii="Arial" w:cs="Arial" w:eastAsia="Arial" w:hAnsi="Arial"/>
          <w:sz w:val="18"/>
          <w:szCs w:val="18"/>
          <w:color w:val="auto"/>
        </w:rPr>
        <w:t>Sonsini Goodrich &amp; Rosati, and plays an instrumental role in driving the development of the company’s growing IP portfolio.</w:t>
      </w:r>
    </w:p>
    <w:p>
      <w:pPr>
        <w:spacing w:after="0" w:line="86" w:lineRule="exact"/>
        <w:rPr>
          <w:rFonts w:ascii="Arial" w:cs="Arial" w:eastAsia="Arial" w:hAnsi="Arial"/>
          <w:sz w:val="18"/>
          <w:szCs w:val="18"/>
          <w:color w:val="auto"/>
        </w:rPr>
      </w:pPr>
    </w:p>
    <w:p>
      <w:pPr>
        <w:ind w:left="340" w:right="80" w:hanging="224"/>
        <w:spacing w:after="0" w:line="271"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Michael Conway, MBA, CPA, VP of Finance, </w:t>
      </w:r>
      <w:r>
        <w:rPr>
          <w:rFonts w:ascii="Arial" w:cs="Arial" w:eastAsia="Arial" w:hAnsi="Arial"/>
          <w:sz w:val="18"/>
          <w:szCs w:val="18"/>
          <w:color w:val="auto"/>
        </w:rPr>
        <w:t>has spent nearly 20 years in finance leadership positions at life science and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including Adamas Pharmaceuticals, InterMune, and Intel.</w:t>
      </w:r>
    </w:p>
    <w:p>
      <w:pPr>
        <w:spacing w:after="0" w:line="86" w:lineRule="exact"/>
        <w:rPr>
          <w:sz w:val="20"/>
          <w:szCs w:val="20"/>
          <w:color w:val="auto"/>
        </w:rPr>
      </w:pPr>
    </w:p>
    <w:p>
      <w:pPr>
        <w:ind w:left="120" w:right="560"/>
        <w:spacing w:after="0" w:line="253" w:lineRule="auto"/>
        <w:rPr>
          <w:sz w:val="20"/>
          <w:szCs w:val="20"/>
          <w:color w:val="auto"/>
        </w:rPr>
      </w:pPr>
      <w:r>
        <w:rPr>
          <w:rFonts w:ascii="Arial" w:cs="Arial" w:eastAsia="Arial" w:hAnsi="Arial"/>
          <w:sz w:val="18"/>
          <w:szCs w:val="18"/>
          <w:color w:val="auto"/>
        </w:rPr>
        <w:t>Our company is supported by our board of directors, Scientific Advisory Board, and a leading syndicate of investors, with more than 30 funds supporting our Series B preferred unit and Series B-1 preferred unit financings (collectively, the “Series B preferred unit financing”).</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u w:val="single" w:color="auto"/>
          <w:color w:val="auto"/>
        </w:rPr>
        <w:t>Our Strategy</w:t>
      </w:r>
    </w:p>
    <w:p>
      <w:pPr>
        <w:spacing w:after="0" w:line="148" w:lineRule="exact"/>
        <w:rPr>
          <w:sz w:val="20"/>
          <w:szCs w:val="20"/>
          <w:color w:val="auto"/>
        </w:rPr>
      </w:pPr>
    </w:p>
    <w:p>
      <w:pPr>
        <w:ind w:left="120" w:right="780"/>
        <w:spacing w:after="0" w:line="271" w:lineRule="auto"/>
        <w:rPr>
          <w:sz w:val="20"/>
          <w:szCs w:val="20"/>
          <w:color w:val="auto"/>
        </w:rPr>
      </w:pPr>
      <w:r>
        <w:rPr>
          <w:rFonts w:ascii="Arial" w:cs="Arial" w:eastAsia="Arial" w:hAnsi="Arial"/>
          <w:sz w:val="18"/>
          <w:szCs w:val="18"/>
          <w:color w:val="auto"/>
        </w:rPr>
        <w:t>Our goal is to harness the power of our proprietary metagenomics platform to create curative genetic medicines for patients. Key components of our strategy to achieve this goal include:</w:t>
      </w:r>
    </w:p>
    <w:p>
      <w:pPr>
        <w:spacing w:after="0" w:line="86" w:lineRule="exact"/>
        <w:rPr>
          <w:sz w:val="20"/>
          <w:szCs w:val="20"/>
          <w:color w:val="auto"/>
        </w:rPr>
      </w:pPr>
    </w:p>
    <w:p>
      <w:pPr>
        <w:ind w:left="340" w:right="220" w:hanging="224"/>
        <w:spacing w:after="0" w:line="242"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Leverage our leadership position in metagenomics to continually advance and expand innovative genome editing tools.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expect to build on the diversity and versatility of our toolbox through continuous interrogation of novel microbial genomic information, identification of highly active natural enzymes, design and optimization of genome editing systems, and continuous integration of learnings to accelerate development. In connection with these discoveries, we will continue to strenuously file and protect our intellectual property. Coupled with our trade secret protection around our discovery platform, our broad intellectual property estate creates a significant barrier to entry.</w:t>
      </w:r>
    </w:p>
    <w:p>
      <w:pPr>
        <w:spacing w:after="0" w:line="111" w:lineRule="exact"/>
        <w:rPr>
          <w:rFonts w:ascii="Arial" w:cs="Arial" w:eastAsia="Arial" w:hAnsi="Arial"/>
          <w:sz w:val="18"/>
          <w:szCs w:val="18"/>
          <w:color w:val="auto"/>
        </w:rPr>
      </w:pPr>
    </w:p>
    <w:p>
      <w:pPr>
        <w:ind w:left="340" w:right="200" w:hanging="224"/>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Develop and deliver products that make precise modifications to the human genome to cure disease. </w:t>
      </w:r>
      <w:r>
        <w:rPr>
          <w:rFonts w:ascii="Arial" w:cs="Arial" w:eastAsia="Arial" w:hAnsi="Arial"/>
          <w:sz w:val="18"/>
          <w:szCs w:val="18"/>
          <w:color w:val="auto"/>
        </w:rPr>
        <w:t>We focus on disease</w:t>
      </w:r>
      <w:r>
        <w:rPr>
          <w:rFonts w:ascii="Arial" w:cs="Arial" w:eastAsia="Arial" w:hAnsi="Arial"/>
          <w:sz w:val="18"/>
          <w:szCs w:val="18"/>
          <w:b w:val="1"/>
          <w:bCs w:val="1"/>
          <w:color w:val="auto"/>
        </w:rPr>
        <w:t xml:space="preserve"> </w:t>
      </w:r>
      <w:r>
        <w:rPr>
          <w:rFonts w:ascii="Arial" w:cs="Arial" w:eastAsia="Arial" w:hAnsi="Arial"/>
          <w:sz w:val="18"/>
          <w:szCs w:val="18"/>
          <w:color w:val="auto"/>
        </w:rPr>
        <w:t>areas with well understood disease biology, readily available translational biomarkers for early proof-of-concept, clear development pathways, and important unmet medical need. We are taking a stepwise approach deploying our genome editing toolbox to develop potentially curative therapies for patients. Along with our development efforts using our novel programmable nucleases to knock-in or knock-down gene expression in liver-associated targets, we are leveraging our toolbox to deliver more complex editing systems to targets in and outside the liver. Our approach allows us to systematically incorporate knowledge and insights from our initial development programs, thereby accelerating therapeutic translation across our genome editing technologies.</w:t>
      </w:r>
    </w:p>
    <w:p>
      <w:pPr>
        <w:spacing w:after="0" w:line="117" w:lineRule="exact"/>
        <w:rPr>
          <w:rFonts w:ascii="Arial" w:cs="Arial" w:eastAsia="Arial" w:hAnsi="Arial"/>
          <w:sz w:val="18"/>
          <w:szCs w:val="18"/>
          <w:color w:val="auto"/>
        </w:rPr>
      </w:pPr>
    </w:p>
    <w:p>
      <w:pPr>
        <w:ind w:left="340" w:right="120" w:hanging="224"/>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Build a fully integrated genome editing company. </w:t>
      </w:r>
      <w:r>
        <w:rPr>
          <w:rFonts w:ascii="Arial" w:cs="Arial" w:eastAsia="Arial" w:hAnsi="Arial"/>
          <w:sz w:val="18"/>
          <w:szCs w:val="18"/>
          <w:color w:val="auto"/>
        </w:rPr>
        <w:t>Our team includes experts in discovery, preclinical and clinical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encompassing all major functions necessary to take a molecule from target identification through registrational clinical trials. To rapidly translate editing technologies into genetic medicines, we strategically invest in automation, characterization, and manufacturing capabilities. This applies not only to process development and manufacturing for clinical trial materials, but also high throughput automated screening and genome sequencing, and state-of-the-art characterization assays. We believe our ability to develop and characterize complex human genome editing components is essential to pursue a successful regulatory pathway for genetic medicine development.</w:t>
      </w:r>
    </w:p>
    <w:p>
      <w:pPr>
        <w:spacing w:after="0" w:line="117" w:lineRule="exact"/>
        <w:rPr>
          <w:rFonts w:ascii="Arial" w:cs="Arial" w:eastAsia="Arial" w:hAnsi="Arial"/>
          <w:sz w:val="18"/>
          <w:szCs w:val="18"/>
          <w:color w:val="auto"/>
        </w:rPr>
      </w:pPr>
    </w:p>
    <w:p>
      <w:pPr>
        <w:ind w:left="340" w:hanging="224"/>
        <w:spacing w:after="0" w:line="242"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Expand therapeutic impact to patients through continued investment in business development and enabling partnerships.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carefully consider opportunities for business development such as collaborations and partnerships with industry leaders that have unique strengths and we may pursue additional partnership opportunities which complement our technologies, with the objective of accelerating our programs and pushing forward our therapeutic translation efforts. Our existing partnerships with Moderna, Ionis, and Affini-T Therapeutics, Inc. (“Affini-T”) demonstrate our thoughtful approach to collaborating with industry pioneers to accelerate and optimize the development of our genetic therapeutic candidates.</w:t>
      </w:r>
    </w:p>
    <w:p>
      <w:pPr>
        <w:spacing w:after="0" w:line="111" w:lineRule="exact"/>
        <w:rPr>
          <w:rFonts w:ascii="Arial" w:cs="Arial" w:eastAsia="Arial" w:hAnsi="Arial"/>
          <w:sz w:val="18"/>
          <w:szCs w:val="18"/>
          <w:color w:val="auto"/>
        </w:rPr>
      </w:pPr>
    </w:p>
    <w:p>
      <w:pPr>
        <w:ind w:left="340" w:hanging="224"/>
        <w:spacing w:after="0" w:line="244"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Maintain our entrepreneurial outlook, scientifically rigorous approach, and culture of tireless commitment to patients. </w:t>
      </w:r>
      <w:r>
        <w:rPr>
          <w:rFonts w:ascii="Arial" w:cs="Arial" w:eastAsia="Arial" w:hAnsi="Arial"/>
          <w:sz w:val="18"/>
          <w:szCs w:val="18"/>
          <w:color w:val="auto"/>
        </w:rPr>
        <w:t>We are</w:t>
      </w:r>
      <w:r>
        <w:rPr>
          <w:rFonts w:ascii="Arial" w:cs="Arial" w:eastAsia="Arial" w:hAnsi="Arial"/>
          <w:sz w:val="18"/>
          <w:szCs w:val="18"/>
          <w:b w:val="1"/>
          <w:bCs w:val="1"/>
          <w:color w:val="auto"/>
        </w:rPr>
        <w:t xml:space="preserve"> </w:t>
      </w:r>
      <w:r>
        <w:rPr>
          <w:rFonts w:ascii="Arial" w:cs="Arial" w:eastAsia="Arial" w:hAnsi="Arial"/>
          <w:sz w:val="18"/>
          <w:szCs w:val="18"/>
          <w:color w:val="auto"/>
        </w:rPr>
        <w:t>a team of experienced drug discoverers, developers, and company builders who are united by our mission and passion to unlock the full potential of genome editing for patients with high unmet needs. We are dedicated to attracting and retaining top talent and partnerships at the intersection of academia and industry. We are unwavering in our commitment to deliver cutting-edge technology and unlock the long-awaited, transformative potential of genome editing.</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Introduction to Genome Editing and Limitations with Current Approaches</w:t>
      </w:r>
    </w:p>
    <w:p>
      <w:pPr>
        <w:spacing w:after="0" w:line="148"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Genome editing is a new treatment modality that has the potential to revolutionize healthcare by creating permanent, one-time treatments that address disease at the genomic level. Genome editing involves the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5" w:right="4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color w:val="auto"/>
        </w:rPr>
        <w:t>alteration of genetic material of a living organism by inserting, replacing, converting, or deleting nucleotides within the DNA. Several approaches and technologies are being studied and developed in order to perform these edits, including:</w:t>
      </w:r>
    </w:p>
    <w:p>
      <w:pPr>
        <w:spacing w:after="0" w:line="86" w:lineRule="exact"/>
        <w:rPr>
          <w:sz w:val="20"/>
          <w:szCs w:val="20"/>
          <w:color w:val="auto"/>
        </w:rPr>
      </w:pPr>
    </w:p>
    <w:p>
      <w:pPr>
        <w:ind w:left="560" w:right="120"/>
        <w:spacing w:after="0" w:line="239" w:lineRule="auto"/>
        <w:rPr>
          <w:sz w:val="20"/>
          <w:szCs w:val="20"/>
          <w:color w:val="auto"/>
        </w:rPr>
      </w:pPr>
      <w:r>
        <w:rPr>
          <w:rFonts w:ascii="Arial" w:cs="Arial" w:eastAsia="Arial" w:hAnsi="Arial"/>
          <w:sz w:val="18"/>
          <w:szCs w:val="18"/>
          <w:b w:val="1"/>
          <w:bCs w:val="1"/>
          <w:i w:val="1"/>
          <w:iCs w:val="1"/>
          <w:color w:val="auto"/>
        </w:rPr>
        <w:t xml:space="preserve">Nuclease-based genome editing: </w:t>
      </w:r>
      <w:r>
        <w:rPr>
          <w:rFonts w:ascii="Arial" w:cs="Arial" w:eastAsia="Arial" w:hAnsi="Arial"/>
          <w:sz w:val="18"/>
          <w:szCs w:val="18"/>
          <w:color w:val="auto"/>
        </w:rPr>
        <w:t xml:space="preserve">Several genome editing methods rely on a class of enzymes called nucleases to create double-stranded breaks in DNA at a targeted location to cause gene inactivation, gene insertion, or alter gene splicing. Examples of nucleases include CRISPR associated nucleases, zinc finger nucleases (“ZFNs”), engineered meganucleases, and transcription-activator like effector nucleases (“TALENs”). The discovery and characterization of a particular nuclease, Cas protein 9 from </w:t>
      </w:r>
      <w:r>
        <w:rPr>
          <w:rFonts w:ascii="Arial" w:cs="Arial" w:eastAsia="Arial" w:hAnsi="Arial"/>
          <w:sz w:val="18"/>
          <w:szCs w:val="18"/>
          <w:i w:val="1"/>
          <w:iCs w:val="1"/>
          <w:color w:val="auto"/>
        </w:rPr>
        <w:t xml:space="preserve">Streptococcus pyogenes </w:t>
      </w:r>
      <w:r>
        <w:rPr>
          <w:rFonts w:ascii="Arial" w:cs="Arial" w:eastAsia="Arial" w:hAnsi="Arial"/>
          <w:sz w:val="18"/>
          <w:szCs w:val="18"/>
          <w:color w:val="auto"/>
        </w:rPr>
        <w:t>(“SpCas9”), has been leveraged to develop a number of different therapeutic approaches. Importantly,</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novel and distinct Cas nucleases exist in nature and have the potential to be developed into tools for genome editing. When introduced at target sites in a genome sequence, genomic breaks trigger DNA repair pathways that can be used for genome editing. If a DNA template is provided, the DNA repair machinery may incorporate the sequence at the site of the genomic break, resulting in a site-specific knock-in. If not, the cut will lead to the disruption of a gene sequence and subsequent knock-down of the encoded protein.</w:t>
      </w:r>
    </w:p>
    <w:p>
      <w:pPr>
        <w:spacing w:after="0" w:line="112" w:lineRule="exact"/>
        <w:rPr>
          <w:sz w:val="20"/>
          <w:szCs w:val="20"/>
          <w:color w:val="auto"/>
        </w:rPr>
      </w:pPr>
    </w:p>
    <w:p>
      <w:pPr>
        <w:ind w:left="560" w:right="60"/>
        <w:spacing w:after="0" w:line="254" w:lineRule="auto"/>
        <w:rPr>
          <w:sz w:val="20"/>
          <w:szCs w:val="20"/>
          <w:color w:val="auto"/>
        </w:rPr>
      </w:pPr>
      <w:r>
        <w:rPr>
          <w:rFonts w:ascii="Arial" w:cs="Arial" w:eastAsia="Arial" w:hAnsi="Arial"/>
          <w:sz w:val="17"/>
          <w:szCs w:val="17"/>
          <w:b w:val="1"/>
          <w:bCs w:val="1"/>
          <w:i w:val="1"/>
          <w:iCs w:val="1"/>
          <w:color w:val="auto"/>
        </w:rPr>
        <w:t xml:space="preserve">Base editing: </w:t>
      </w:r>
      <w:r>
        <w:rPr>
          <w:rFonts w:ascii="Arial" w:cs="Arial" w:eastAsia="Arial" w:hAnsi="Arial"/>
          <w:sz w:val="17"/>
          <w:szCs w:val="17"/>
          <w:color w:val="auto"/>
        </w:rPr>
        <w:t>Base editing is a genome editing approach that relies on using deaminases to chemically convert specific nucleotides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 genome. Deaminases are enzymes that catalyze chemical reactions to remove an amino group. Multiple programmable nuclease platforms, such as CRISPR nucleases, have been harnessed for base editing by using the programmable nature of these enzymes to direct deaminases to specific genomic target sites. In these cases, the nuclease activity is deactivated, thus creating</w:t>
      </w:r>
    </w:p>
    <w:p>
      <w:pPr>
        <w:ind w:left="560" w:right="80"/>
        <w:spacing w:after="0"/>
        <w:rPr>
          <w:sz w:val="20"/>
          <w:szCs w:val="20"/>
          <w:color w:val="auto"/>
        </w:rPr>
      </w:pPr>
      <w:r>
        <w:rPr>
          <w:rFonts w:ascii="Arial" w:cs="Arial" w:eastAsia="Arial" w:hAnsi="Arial"/>
          <w:sz w:val="18"/>
          <w:szCs w:val="18"/>
          <w:color w:val="auto"/>
        </w:rPr>
        <w:t>a nicking or nuclease-dead version that does not disrupt the ability of the enzyme to be programmed to target specific genomic sites for editing. There are two primary types of base editors: adenine base editors (“ABEs”) and cytosine base editors (“CBEs”). ABEs convert adenine-thymine base pairs to guanine-cytosine base pairs. CBEs target cytosine-guanine and convert them to thymine-adenine.</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RNA-mediated integration, including prime editing: </w:t>
      </w:r>
      <w:r>
        <w:rPr>
          <w:rFonts w:ascii="Arial" w:cs="Arial" w:eastAsia="Arial" w:hAnsi="Arial"/>
          <w:sz w:val="18"/>
          <w:szCs w:val="18"/>
          <w:color w:val="auto"/>
        </w:rPr>
        <w:t>RNA-mediated integration systems (“RIGS”) are genome editing systems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 programmable genomic modifications that are encoded in RNA templates. Because the modifications are encoded in RNA, these systems have the ability to repair diverse mutations, including insertions, deletions, and all types of point mutations. These systems rely on RTs to convert messages encoded as RNA into DNA. CRISPR systems are used to direct RTs to genomic target sites. Some systems use a nickase to create a target-specific site that primes the activity of the RT and results in the corrected genomic sequence encoded in the RNA to be incorporated into the genome. Prime editing can be accomplished with RIGS, as can large, targeted genomic integrations.</w:t>
      </w:r>
    </w:p>
    <w:p>
      <w:pPr>
        <w:spacing w:after="0" w:line="117" w:lineRule="exact"/>
        <w:rPr>
          <w:sz w:val="20"/>
          <w:szCs w:val="20"/>
          <w:color w:val="auto"/>
        </w:rPr>
      </w:pPr>
    </w:p>
    <w:p>
      <w:pPr>
        <w:ind w:left="560"/>
        <w:spacing w:after="0" w:line="257" w:lineRule="auto"/>
        <w:rPr>
          <w:sz w:val="20"/>
          <w:szCs w:val="20"/>
          <w:color w:val="auto"/>
        </w:rPr>
      </w:pPr>
      <w:r>
        <w:rPr>
          <w:rFonts w:ascii="Arial" w:cs="Arial" w:eastAsia="Arial" w:hAnsi="Arial"/>
          <w:sz w:val="17"/>
          <w:szCs w:val="17"/>
          <w:b w:val="1"/>
          <w:bCs w:val="1"/>
          <w:i w:val="1"/>
          <w:iCs w:val="1"/>
          <w:color w:val="auto"/>
        </w:rPr>
        <w:t xml:space="preserve">DNA-mediated integration, including CAST: </w:t>
      </w:r>
      <w:r>
        <w:rPr>
          <w:rFonts w:ascii="Arial" w:cs="Arial" w:eastAsia="Arial" w:hAnsi="Arial"/>
          <w:sz w:val="17"/>
          <w:szCs w:val="17"/>
          <w:color w:val="auto"/>
        </w:rPr>
        <w:t>CASTs are a class of genome editing systems that provide directed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programmable genomic integration of large DNA templates. CASTs are naturally occurring systems that have been engineered to accomplish large integrations for genome editing in various cell types and for therapeutic applications. The systems consist of a catalytically dead Cas effector that can be programmed by gRNAs to target a transposase to integrate large DNA cargos into specific genomic target sites. DNA-templated integrations can be accomplished with other transposase and recombinase systems; however, these systems typically require extensive protein engineering in order to alter their targetability, or need to be used in concert with other genome editing tools such as prime editing systems in order to incorporate targeting motifs into specific genomic sites.</w:t>
      </w:r>
    </w:p>
    <w:p>
      <w:pPr>
        <w:spacing w:after="0" w:line="101"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There have been significant advancements in genome editing since the seminal research that led to the discovery of CRISPR SpCas9 and its application in humans. However, there remain key limitations that must be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addressed to unlock the full potential of genome editing. We believe the key limitations facing current genome editing platforms are:</w:t>
      </w:r>
    </w:p>
    <w:p>
      <w:pPr>
        <w:spacing w:after="0" w:line="144" w:lineRule="exact"/>
        <w:rPr>
          <w:sz w:val="20"/>
          <w:szCs w:val="20"/>
          <w:color w:val="auto"/>
        </w:rPr>
      </w:pPr>
    </w:p>
    <w:p>
      <w:pPr>
        <w:ind w:left="540" w:right="180" w:hanging="424"/>
        <w:spacing w:after="0" w:line="244" w:lineRule="auto"/>
        <w:tabs>
          <w:tab w:leader="none" w:pos="540" w:val="left"/>
        </w:tabs>
        <w:numPr>
          <w:ilvl w:val="0"/>
          <w:numId w:val="72"/>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First-generation technology lacks the ability and flexibility for accomplishing complex genome editing. </w:t>
      </w:r>
      <w:r>
        <w:rPr>
          <w:rFonts w:ascii="Arial" w:cs="Arial" w:eastAsia="Arial" w:hAnsi="Arial"/>
          <w:sz w:val="18"/>
          <w:szCs w:val="18"/>
          <w:color w:val="auto"/>
        </w:rPr>
        <w:t>The majority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genome editing platforms are limited to a single genome editing approach, such as gene insertions/deletions, single nucleotide changes, or small gene corrections. As a result, they are faced with inherent limitations including the diversity of edits in which they can employ and, as a result, an inability to address a range of diseases. In addition, they lack the flexibility to tailor their genome editing system to a broad range of genomic targets of interest.</w:t>
      </w:r>
    </w:p>
    <w:p>
      <w:pPr>
        <w:spacing w:after="0" w:line="108" w:lineRule="exact"/>
        <w:rPr>
          <w:rFonts w:ascii="Arial" w:cs="Arial" w:eastAsia="Arial" w:hAnsi="Arial"/>
          <w:sz w:val="18"/>
          <w:szCs w:val="18"/>
          <w:i w:val="1"/>
          <w:iCs w:val="1"/>
          <w:color w:val="auto"/>
        </w:rPr>
      </w:pPr>
    </w:p>
    <w:p>
      <w:pPr>
        <w:ind w:left="540" w:right="120" w:hanging="424"/>
        <w:spacing w:after="0" w:line="247" w:lineRule="auto"/>
        <w:tabs>
          <w:tab w:leader="none" w:pos="540" w:val="left"/>
        </w:tabs>
        <w:numPr>
          <w:ilvl w:val="0"/>
          <w:numId w:val="72"/>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Lack specificity and control over resulting edits. </w:t>
      </w:r>
      <w:r>
        <w:rPr>
          <w:rFonts w:ascii="Arial" w:cs="Arial" w:eastAsia="Arial" w:hAnsi="Arial"/>
          <w:sz w:val="18"/>
          <w:szCs w:val="18"/>
          <w:color w:val="auto"/>
        </w:rPr>
        <w:t>Current genome editing platforms have a narrow armamentarium of genome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editing systems and therefore limited access to systems capable of high activity and specificity at desired target sites. This lack of control and specificity is often measured by “off-target” edits which can pose a risk for undesirable side effects or unexpected safety findings.</w:t>
      </w:r>
    </w:p>
    <w:p>
      <w:pPr>
        <w:spacing w:after="0" w:line="106" w:lineRule="exact"/>
        <w:rPr>
          <w:rFonts w:ascii="Arial" w:cs="Arial" w:eastAsia="Arial" w:hAnsi="Arial"/>
          <w:sz w:val="18"/>
          <w:szCs w:val="18"/>
          <w:i w:val="1"/>
          <w:iCs w:val="1"/>
          <w:color w:val="auto"/>
        </w:rPr>
      </w:pPr>
    </w:p>
    <w:p>
      <w:pPr>
        <w:ind w:left="540" w:right="400" w:hanging="424"/>
        <w:spacing w:after="0" w:line="253"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Size of current genome editing technologies limits </w:t>
      </w:r>
      <w:r>
        <w:rPr>
          <w:rFonts w:ascii="Arial" w:cs="Arial" w:eastAsia="Arial" w:hAnsi="Arial"/>
          <w:sz w:val="18"/>
          <w:szCs w:val="18"/>
          <w:b w:val="1"/>
          <w:bCs w:val="1"/>
          <w:color w:val="auto"/>
        </w:rPr>
        <w:t>in vivo</w:t>
      </w:r>
      <w:r>
        <w:rPr>
          <w:rFonts w:ascii="Arial" w:cs="Arial" w:eastAsia="Arial" w:hAnsi="Arial"/>
          <w:sz w:val="18"/>
          <w:szCs w:val="18"/>
          <w:b w:val="1"/>
          <w:bCs w:val="1"/>
          <w:i w:val="1"/>
          <w:iCs w:val="1"/>
          <w:color w:val="auto"/>
        </w:rPr>
        <w:t xml:space="preserve"> delivery methods and target organs. </w:t>
      </w:r>
      <w:r>
        <w:rPr>
          <w:rFonts w:ascii="Arial" w:cs="Arial" w:eastAsia="Arial" w:hAnsi="Arial"/>
          <w:sz w:val="18"/>
          <w:szCs w:val="18"/>
          <w:color w:val="auto"/>
        </w:rPr>
        <w:t>First-generation SpCas9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are about 1,300 amino acids (“aa” in length and as such are not feasible to package into many delivery vectors such as AAV. As such, their delivery is largely limited to LNP systems, which precludes delivery to many tissues outside of the liver.</w:t>
      </w:r>
    </w:p>
    <w:p>
      <w:pPr>
        <w:spacing w:after="0" w:line="101" w:lineRule="exact"/>
        <w:rPr>
          <w:rFonts w:ascii="Arial" w:cs="Arial" w:eastAsia="Arial" w:hAnsi="Arial"/>
          <w:sz w:val="18"/>
          <w:szCs w:val="18"/>
          <w:color w:val="auto"/>
        </w:rPr>
      </w:pPr>
    </w:p>
    <w:p>
      <w:pPr>
        <w:ind w:left="540" w:right="240" w:hanging="424"/>
        <w:spacing w:after="0" w:line="253" w:lineRule="auto"/>
        <w:tabs>
          <w:tab w:leader="none" w:pos="540" w:val="left"/>
        </w:tabs>
        <w:numPr>
          <w:ilvl w:val="0"/>
          <w:numId w:val="72"/>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Inability to access certain sequences in the genome. </w:t>
      </w:r>
      <w:r>
        <w:rPr>
          <w:rFonts w:ascii="Arial" w:cs="Arial" w:eastAsia="Arial" w:hAnsi="Arial"/>
          <w:sz w:val="18"/>
          <w:szCs w:val="18"/>
          <w:color w:val="auto"/>
        </w:rPr>
        <w:t>SpCas9 is only able to target DNA sequences which contain a flanking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sequence of “NGG”, restricting the range in genetic targets it can be programmed to locate, and subsequently limiting the ability to address certain underlying mutations that drive disease.</w:t>
      </w:r>
    </w:p>
    <w:p>
      <w:pPr>
        <w:spacing w:after="0" w:line="101" w:lineRule="exact"/>
        <w:rPr>
          <w:rFonts w:ascii="Arial" w:cs="Arial" w:eastAsia="Arial" w:hAnsi="Arial"/>
          <w:sz w:val="18"/>
          <w:szCs w:val="18"/>
          <w:i w:val="1"/>
          <w:iCs w:val="1"/>
          <w:color w:val="auto"/>
        </w:rPr>
      </w:pPr>
    </w:p>
    <w:p>
      <w:pPr>
        <w:ind w:left="540" w:right="220" w:hanging="424"/>
        <w:spacing w:after="0" w:line="253" w:lineRule="auto"/>
        <w:tabs>
          <w:tab w:leader="none" w:pos="540" w:val="left"/>
        </w:tabs>
        <w:numPr>
          <w:ilvl w:val="0"/>
          <w:numId w:val="72"/>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Substantial engineering requirements. </w:t>
      </w:r>
      <w:r>
        <w:rPr>
          <w:rFonts w:ascii="Arial" w:cs="Arial" w:eastAsia="Arial" w:hAnsi="Arial"/>
          <w:sz w:val="18"/>
          <w:szCs w:val="18"/>
          <w:color w:val="auto"/>
        </w:rPr>
        <w:t>Limited access to highly active natural nucleases and effectors drives the need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 modifications to make a system operate at therapeutically-relevant levels, resulting in long lead times from discovery to candidate nomination.</w:t>
      </w:r>
    </w:p>
    <w:p>
      <w:pPr>
        <w:spacing w:after="0" w:line="101" w:lineRule="exact"/>
        <w:rPr>
          <w:rFonts w:ascii="Arial" w:cs="Arial" w:eastAsia="Arial" w:hAnsi="Arial"/>
          <w:sz w:val="18"/>
          <w:szCs w:val="18"/>
          <w:i w:val="1"/>
          <w:iCs w:val="1"/>
          <w:color w:val="auto"/>
        </w:rPr>
      </w:pPr>
    </w:p>
    <w:p>
      <w:pPr>
        <w:ind w:left="540" w:hanging="424"/>
        <w:spacing w:after="0" w:line="247" w:lineRule="auto"/>
        <w:tabs>
          <w:tab w:leader="none" w:pos="540" w:val="left"/>
        </w:tabs>
        <w:numPr>
          <w:ilvl w:val="0"/>
          <w:numId w:val="72"/>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Narrow terms of license agreement from academic institutions. </w:t>
      </w:r>
      <w:r>
        <w:rPr>
          <w:rFonts w:ascii="Arial" w:cs="Arial" w:eastAsia="Arial" w:hAnsi="Arial"/>
          <w:sz w:val="18"/>
          <w:szCs w:val="18"/>
          <w:color w:val="auto"/>
        </w:rPr>
        <w:t>The majority of genome editing platforms have been formed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result of a licensing agreement for specific genome editing systems or technology from academic institutions and are therefore limited to the confines of that technology arrangement. Alternatively, genome editing tools developed by us are built from highly novel components derived from our metagenomics database, and thus are not subject to these constraints.</w:t>
      </w:r>
    </w:p>
    <w:p>
      <w:pPr>
        <w:spacing w:after="0" w:line="106"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In order to address these broad challenges with current genome editing approaches, we have leveraged our deep expertise with metagenomics to develop a proprietary discovery platform that is designed to continuously identify novel editing systems and optimize our expansive editing toolbox. Starting at the microbial level, our multifaceted platform enables discovery beyond nucleases, translating highly active natural enzymes into powerful genome editing systems optimized for efficiency and specificity.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u w:val="single" w:color="auto"/>
          <w:color w:val="auto"/>
        </w:rPr>
        <w:t>Our Metagenomics Platform</w:t>
      </w:r>
    </w:p>
    <w:p>
      <w:pPr>
        <w:spacing w:after="0" w:line="148"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We believe genome editing tools with capabilities that go beyond the current technology landscape will be required in order to treat the vast majority of genetic diseases. Our goal is to unlock the full potential of genome editing by developing tools with new capabilities using novel cellular machinery discovered from the natural environment. Our company was founded by Brian C. Thomas and Jillian F. Banfield, pioneers in the field of metagenomics. They recognized the power that naturally evolved microbial systems could have in revolutionizing access to enhanced genome editing technologies to create potentially highly efficacious and curative genetic medicines. Our metagenomics discovery platform is foundational to our business and therapeutic pipeline. This platform enables us to rapidly and effectively find and engineer highly active natural enzymes sourced from nature into genome editing tools that are highly specific, efficient, and have enhanced targetability.</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CRISPR systems, having been studied for decades, are known to be ubiquitous in the microbial world. However, it was not until the recent discovery and characterization of CRISPR-SpCas9 that it became possible to use these systems as tools for genome editing. SpCas9 is only a single representative of the CRISPR systems that exist in nature, leaving open the potential to identify and develop new genome editing tools through continued and systematic discovery efforts. The vast majority of microbes, including bacteria, archaea, viruses, fungi, and single-celled eukaryotes, are extremely difficult, and potentially impossible, to study using traditional laboratory methods. We aim to address the limitations of traditional laboratory methods through a process whereby microbes are recovered from the natural environment and studied based on their genetic blueprint-their genome sequences. This approach has supported the ability to characterize the extent of CRISPR biology on the planet, and to expand beyond CRISPR to identify a vast collection of novel enzymes and other cellular machinery.</w:t>
      </w:r>
    </w:p>
    <w:p>
      <w:pPr>
        <w:spacing w:after="0" w:line="116"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Samples from diverse climates and geographies have been used to build a metagenomic database that is continuously analyzed via high-throughput screening that utilizes AI and proprietary algorithms to direct our discovery efforts. This continuous genome mining process generates expansive libraries of novel systems, including nucleases, deaminases, RTs, and CAST systems (together, “effector enzymes”), that make up the foundational building blocks necessary to assemble a modular, novel genome editing toolbox that can be harnessed to make precise changes to the human genome to address a variety of important diseases with curative intent. We have simultaneously developed a modular approach to engineering that involves interchanging key components in a high-speed process to translate the discovery of novel nucleases and other effector enzymes into optimized genome editing systems with substantially reduced translation time compared with previously described systems. We estimate that our metagenomics platform and modular engineering process has resulted in the discovery of over 20,000 novel genome editing systems, to which we are seeking coverage through our pending patent portfolio. These systems span hundreds of novel nuclease families and fuel a growing genome editing toolbox.</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Mining Our Natural Environment to Create an Expansive Genomics Database</w:t>
      </w:r>
    </w:p>
    <w:p>
      <w:pPr>
        <w:spacing w:after="0" w:line="144"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We aim to harness the power of the metagenome by using our continuous genome mining process to assemble a broad, diverse library of novel genome editing nucleases and other effector enzymes. This is accomplished by studying all the DNA from microbial communities at the same time. Our mining process begins with proprietary sampling in which our scientists collect samples from diverse climates and geographies to build a database that spans broad biodiversity including, but not limited to our local natural environments and extreme environments such as from high-altitudes, high-temperatures, and hydrothermal vents below the ocean. Samples collected in a natural environment may contain billions of cells representing tens of thousands of distinct species. Every sample collected from a natural environment is subjected to deep DNA sequencing and bioinformatics analysis to identify and functionally analyze recovered microbial genomes for the discovery of genetic elements of interest.</w:t>
      </w:r>
    </w:p>
    <w:p>
      <w:pPr>
        <w:spacing w:after="0" w:line="11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Through our metagenomics process, DNA is extracted from these environmental samples and sequenced in order to reconstruct the genomes of the resident microbes. The process of DNA extraction and sequencing results in the fragmentation of each individual microbial genome into small sections which are blended into a backdrop of all other sequences present. Due to the clonal replication of the organisms in microbial communities, multiple copies of nearly-identical genome sequences are recovered, and the overlap between these sequences provides the information needed to reconstruct the original genomes. This complex process is only the beginning. Once reconstructed, it is necessary to predict the function of each section of the newly reconstructed genomes. Our platform has facilitated the discovery of vast sequences and functional components that, to our knowledge, have never been published before. These novel components have resulted from the unique selective pressures that microbes face from different environments and that drive immense genomic diversification. The evolutionary process of natural selection provides highly optimized enzymes that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require little protein engineering. The novelty of the genomes recovered from metagenomics requires the de novo prediction of genes, proteins, non-coding RNAs, and other essential features. This is due to previously studied ‘reference’ sequences not providing enough information to sufficiently guide this process. Considering that these evolutionary processes have been at work for billions of years, there is considerable genetic diversity to mine for the development of highly-optimized genome editing tools. Our industry-leading database of novel microbial genetic sequences provides the basis for our discovery process. To date, our continuous genome mining process has analyzed over 380 trillion base pairs of DNA sequence, an amount of data roughly equivalent to what would be required to sequence hundreds of thousands of human genomes, and resulted in the prediction of over six billion proteins and over 1.4 million CRISPR loci – including over 150 million Cas proteins.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Leveraging AI and High-Throughput Screening to Identify Novel Editing Systems</w:t>
      </w:r>
    </w:p>
    <w:p>
      <w:pPr>
        <w:spacing w:after="0" w:line="131" w:lineRule="exact"/>
        <w:rPr>
          <w:sz w:val="20"/>
          <w:szCs w:val="20"/>
          <w:color w:val="auto"/>
        </w:rPr>
      </w:pPr>
    </w:p>
    <w:p>
      <w:pPr>
        <w:ind w:left="120"/>
        <w:spacing w:after="0" w:line="251" w:lineRule="auto"/>
        <w:rPr>
          <w:sz w:val="20"/>
          <w:szCs w:val="20"/>
          <w:color w:val="auto"/>
        </w:rPr>
      </w:pPr>
      <w:r>
        <w:rPr>
          <w:rFonts w:ascii="Arial" w:cs="Arial" w:eastAsia="Arial" w:hAnsi="Arial"/>
          <w:sz w:val="17"/>
          <w:szCs w:val="17"/>
          <w:color w:val="auto"/>
        </w:rPr>
        <w:t>To interrogate our metagenomics database, our platform combines AI, including machine learning, and proprietary algorithms run on expansive cloud computing infrastructure to screen for novel CRISPR nucleases and other effector enzymes at high speed. The screening process consists of high-throughput sequencing that allows us to quickly analyze large amounts of genomic data and subsequently synthesize the identified components, building blocks, into functioning CRISPR nucleases and other effector enzymes that can be interrogated biochemically and in mammalian cells. Once extensively characterized, novel nucleases and other effector enzymes are categorized into our ever-expanding library. Through the metagenomics-driven discovery process we have characterized one of the largest known libraries of novel nucleases, which we estimate includes 20,000 novel genome editing systems from hundreds of nuclease families. We have also assembled a robust library of other effector enzymes to design and engineer the next generation of genome editing systems that are fit for essentially any therapeutic purpose. Our effector enzyme library includes over three million deaminases, over</w:t>
      </w:r>
    </w:p>
    <w:p>
      <w:pPr>
        <w:spacing w:after="0" w:line="1"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five million RTs, and thousands of CAST systems, as shown in Figure 3 below. The continuous interrogation of an ever-expanding database of programmable nucleases and other enzyme effectors accelerates the pace of learning and insights to feedback into proprietary machine learning algorithms and further separates us from peer companies. As we continue to build upon our metagenomic library, we expect to make additional discoveries of novel genome editing technology and expand our toolbox.</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3</w:t>
      </w:r>
      <w:r>
        <w:rPr>
          <w:rFonts w:ascii="Arial" w:cs="Arial" w:eastAsia="Arial" w:hAnsi="Arial"/>
          <w:sz w:val="18"/>
          <w:szCs w:val="18"/>
          <w:color w:val="auto"/>
        </w:rPr>
        <w:t>. Our Effector Enzyme Library.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103505</wp:posOffset>
            </wp:positionV>
            <wp:extent cx="5177790" cy="25114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7779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5" w:right="4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 xml:space="preserve">From this library, we select our lead nucleases and other effector enzymes through a funnel of stringent performance and safety criteria that involves testing in a series of cell-free, cell-based,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experiments. Ultimately, we prioritize editing systems that exhibit high editing efficiency and precision, and have a compact size that will optimize their delivery. Because most systems added to our genome editing toolbox have different genomic targeting specifications, we believe that our expanding toolbox could enable us to target every base pair in the human genome. This process, highlighted in Figure 4, helps us to identify highly active natural enzymes that require minimal engineering and optimization to translate into potentially curative genetic medicine.</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4</w:t>
      </w:r>
      <w:r>
        <w:rPr>
          <w:rFonts w:ascii="Arial" w:cs="Arial" w:eastAsia="Arial" w:hAnsi="Arial"/>
          <w:sz w:val="18"/>
          <w:szCs w:val="18"/>
          <w:color w:val="auto"/>
        </w:rPr>
        <w:t>. Overview of High-Throughput Screening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103505</wp:posOffset>
            </wp:positionV>
            <wp:extent cx="5083175" cy="21005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08317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Modular Engineering Translates Metagenomic Discoveries into Genetic Medicines</w:t>
      </w:r>
    </w:p>
    <w:p>
      <w:pPr>
        <w:spacing w:after="0" w:line="131"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By selecting highly active nucleases from our library, our process requires minimal optimization to develop potentially best-in-class genome editing systems. We utilize a modular engineering approach to match lead nuclease candidates with an optimal gRNA and targeting domain in order to optimize targeting, specificity, and editing efficiency. Furthermore, additional effector enzymes can be included to modify the function of the system, for example by adding a deaminase to a nickase variant for base editing.</w:t>
      </w:r>
    </w:p>
    <w:p>
      <w:pPr>
        <w:spacing w:after="0" w:line="106" w:lineRule="exact"/>
        <w:rPr>
          <w:sz w:val="20"/>
          <w:szCs w:val="20"/>
          <w:color w:val="auto"/>
        </w:rPr>
      </w:pPr>
    </w:p>
    <w:p>
      <w:pPr>
        <w:ind w:left="120" w:right="200"/>
        <w:spacing w:after="0" w:line="242" w:lineRule="auto"/>
        <w:rPr>
          <w:sz w:val="20"/>
          <w:szCs w:val="20"/>
          <w:color w:val="auto"/>
        </w:rPr>
      </w:pPr>
      <w:r>
        <w:rPr>
          <w:rFonts w:ascii="Arial" w:cs="Arial" w:eastAsia="Arial" w:hAnsi="Arial"/>
          <w:sz w:val="18"/>
          <w:szCs w:val="18"/>
          <w:color w:val="auto"/>
        </w:rPr>
        <w:t xml:space="preserve">This process leverages our vast library of editing systems to perform targeting domain swaps between enzymes, substituting domains from less-active enzymes into the backbone of highly-active nucleases in order to modify their targeting ability. These chimeric enzymes provide us with unique access to high efficiency editing at gene loci. The modular engineering process is accelerated using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screening algorithms to predict the optimal chimera. This predicative, high-speed engineering process allows us to continually iterate across each component of the genome editing system to quickly develop an engineered system that is optimized for various therapeutic applications.</w:t>
      </w:r>
    </w:p>
    <w:p>
      <w:pPr>
        <w:spacing w:after="0" w:line="111"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Modular engineering can be used to adjust the targeting of high-performing systems by leveraging the diverse targeting capabilities of diverse Metagenomi nucleases. Given the measured targeting density of our toolbox, we believe that essentially any codon and ultimately every base pair in the human genome could be addressed with our gene editing systems.</w:t>
      </w:r>
    </w:p>
    <w:p>
      <w:pPr>
        <w:spacing w:after="0" w:line="88"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Our metagenomics platform and modular engineering process has supported the discovery and development of our broad genome editing toolbox at a rapid pace since our company’s founding in 2018. Genome editing remains in the early stages of development and our platform allows us to continuously learn, iterate, and optimize our genome editing toolbox in pursuit of curative genome editing medicines. The increasing insights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5" w:right="4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from our modular engineering and target domain swapping are captured and further interrogated and organized by our proprietary AI platform to accelerate the pace of future development and further separate us from our peers. As the genetic medicine field continues to rapidly evolve, our platform positions us to be at the forefront of unlocking the full potential of genome editing through the continuous discovery of new editing systems and the development of the next wave of genetic medicines.</w:t>
      </w:r>
    </w:p>
    <w:p>
      <w:pPr>
        <w:spacing w:after="0" w:line="1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920"/>
          </w:cols>
          <w:pgMar w:left="320" w:top="455" w:right="6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9" w:lineRule="exact"/>
        <w:rPr>
          <w:sz w:val="20"/>
          <w:szCs w:val="20"/>
          <w:color w:val="auto"/>
        </w:rPr>
      </w:pPr>
    </w:p>
    <w:p>
      <w:pPr>
        <w:ind w:left="120" w:right="3200"/>
        <w:spacing w:after="0" w:line="410" w:lineRule="auto"/>
        <w:rPr>
          <w:sz w:val="20"/>
          <w:szCs w:val="20"/>
          <w:color w:val="auto"/>
        </w:rPr>
      </w:pPr>
      <w:r>
        <w:rPr>
          <w:rFonts w:ascii="Arial" w:cs="Arial" w:eastAsia="Arial" w:hAnsi="Arial"/>
          <w:sz w:val="22"/>
          <w:szCs w:val="22"/>
          <w:b w:val="1"/>
          <w:bCs w:val="1"/>
          <w:u w:val="single" w:color="auto"/>
          <w:color w:val="auto"/>
        </w:rPr>
        <w:t xml:space="preserve">Our Solution: Proprietary Toolbox Derived from Our Metagenomic Approach </w:t>
      </w:r>
      <w:r>
        <w:rPr>
          <w:rFonts w:ascii="Arial" w:cs="Arial" w:eastAsia="Arial" w:hAnsi="Arial"/>
          <w:sz w:val="22"/>
          <w:szCs w:val="22"/>
          <w:b w:val="1"/>
          <w:bCs w:val="1"/>
          <w:color w:val="auto"/>
        </w:rPr>
        <w:t>Our Platform of Genome Editing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-33020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17"/>
        </w:trPr>
        <w:tc>
          <w:tcPr>
            <w:tcW w:w="2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Gene Edit</w:t>
            </w:r>
          </w:p>
        </w:tc>
        <w:tc>
          <w:tcPr>
            <w:tcW w:w="246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Metagenomi (“MG”) Tools</w:t>
            </w:r>
          </w:p>
        </w:tc>
        <w:tc>
          <w:tcPr>
            <w:tcW w:w="59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Key Attributes</w:t>
            </w:r>
          </w:p>
        </w:tc>
        <w:tc>
          <w:tcPr>
            <w:tcW w:w="0" w:type="dxa"/>
            <w:vAlign w:val="bottom"/>
          </w:tcPr>
          <w:p>
            <w:pPr>
              <w:spacing w:after="0"/>
              <w:rPr>
                <w:sz w:val="1"/>
                <w:szCs w:val="1"/>
                <w:color w:val="auto"/>
              </w:rPr>
            </w:pPr>
          </w:p>
        </w:tc>
      </w:tr>
      <w:tr>
        <w:trPr>
          <w:trHeight w:val="208"/>
        </w:trPr>
        <w:tc>
          <w:tcPr>
            <w:tcW w:w="2620" w:type="dxa"/>
            <w:vAlign w:val="bottom"/>
          </w:tcPr>
          <w:p>
            <w:pPr>
              <w:spacing w:after="0"/>
              <w:rPr>
                <w:sz w:val="18"/>
                <w:szCs w:val="18"/>
                <w:color w:val="auto"/>
              </w:rPr>
            </w:pPr>
          </w:p>
        </w:tc>
        <w:tc>
          <w:tcPr>
            <w:tcW w:w="24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Type II Nucleases</w:t>
            </w:r>
          </w:p>
        </w:tc>
        <w:tc>
          <w:tcPr>
            <w:tcW w:w="5940" w:type="dxa"/>
            <w:vAlign w:val="bottom"/>
          </w:tcPr>
          <w:p>
            <w:pPr>
              <w:ind w:left="100"/>
              <w:spacing w:after="0"/>
              <w:rPr>
                <w:sz w:val="20"/>
                <w:szCs w:val="20"/>
                <w:color w:val="auto"/>
              </w:rPr>
            </w:pPr>
            <w:r>
              <w:rPr>
                <w:rFonts w:ascii="Arial" w:cs="Arial" w:eastAsia="Arial" w:hAnsi="Arial"/>
                <w:sz w:val="16"/>
                <w:szCs w:val="16"/>
                <w:color w:val="auto"/>
              </w:rPr>
              <w:t>•   Extensive targetability (Alexander et al 2023, Lamothe et al 2023)</w:t>
            </w: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2460" w:type="dxa"/>
            <w:vAlign w:val="bottom"/>
            <w:vMerge w:val="continue"/>
          </w:tcPr>
          <w:p>
            <w:pPr>
              <w:spacing w:after="0"/>
              <w:rPr>
                <w:sz w:val="14"/>
                <w:szCs w:val="14"/>
                <w:color w:val="auto"/>
              </w:rPr>
            </w:pP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•   Can be converted to nickases for base editing and RIGS</w:t>
            </w:r>
          </w:p>
        </w:tc>
        <w:tc>
          <w:tcPr>
            <w:tcW w:w="0" w:type="dxa"/>
            <w:vAlign w:val="bottom"/>
          </w:tcPr>
          <w:p>
            <w:pPr>
              <w:spacing w:after="0"/>
              <w:rPr>
                <w:sz w:val="1"/>
                <w:szCs w:val="1"/>
                <w:color w:val="auto"/>
              </w:rPr>
            </w:pPr>
          </w:p>
        </w:tc>
      </w:tr>
      <w:tr>
        <w:trPr>
          <w:trHeight w:val="167"/>
        </w:trPr>
        <w:tc>
          <w:tcPr>
            <w:tcW w:w="2620" w:type="dxa"/>
            <w:vAlign w:val="bottom"/>
            <w:vMerge w:val="restart"/>
          </w:tcPr>
          <w:p>
            <w:pPr>
              <w:spacing w:after="0"/>
              <w:rPr>
                <w:sz w:val="20"/>
                <w:szCs w:val="20"/>
                <w:color w:val="auto"/>
              </w:rPr>
            </w:pPr>
            <w:r>
              <w:rPr>
                <w:rFonts w:ascii="Arial" w:cs="Arial" w:eastAsia="Arial" w:hAnsi="Arial"/>
                <w:sz w:val="16"/>
                <w:szCs w:val="16"/>
                <w:b w:val="1"/>
                <w:bCs w:val="1"/>
                <w:color w:val="auto"/>
              </w:rPr>
              <w:t>Knock-down/</w:t>
            </w:r>
          </w:p>
        </w:tc>
        <w:tc>
          <w:tcPr>
            <w:tcW w:w="2460" w:type="dxa"/>
            <w:vAlign w:val="bottom"/>
          </w:tcPr>
          <w:p>
            <w:pPr>
              <w:spacing w:after="0"/>
              <w:rPr>
                <w:sz w:val="14"/>
                <w:szCs w:val="14"/>
                <w:color w:val="auto"/>
              </w:rPr>
            </w:pPr>
          </w:p>
        </w:tc>
        <w:tc>
          <w:tcPr>
            <w:tcW w:w="5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620" w:type="dxa"/>
            <w:vAlign w:val="bottom"/>
            <w:vMerge w:val="continue"/>
          </w:tcPr>
          <w:p>
            <w:pPr>
              <w:spacing w:after="0"/>
              <w:rPr>
                <w:sz w:val="15"/>
                <w:szCs w:val="15"/>
                <w:color w:val="auto"/>
              </w:rPr>
            </w:pPr>
          </w:p>
        </w:tc>
        <w:tc>
          <w:tcPr>
            <w:tcW w:w="2460" w:type="dxa"/>
            <w:vAlign w:val="bottom"/>
          </w:tcPr>
          <w:p>
            <w:pPr>
              <w:spacing w:after="0"/>
              <w:rPr>
                <w:sz w:val="15"/>
                <w:szCs w:val="15"/>
                <w:color w:val="auto"/>
              </w:rPr>
            </w:pP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   Systems with small gRNAs (Goltsman et al 2020)</w:t>
            </w:r>
          </w:p>
        </w:tc>
        <w:tc>
          <w:tcPr>
            <w:tcW w:w="0" w:type="dxa"/>
            <w:vAlign w:val="bottom"/>
          </w:tcPr>
          <w:p>
            <w:pPr>
              <w:spacing w:after="0"/>
              <w:rPr>
                <w:sz w:val="1"/>
                <w:szCs w:val="1"/>
                <w:color w:val="auto"/>
              </w:rPr>
            </w:pPr>
          </w:p>
        </w:tc>
      </w:tr>
      <w:tr>
        <w:trPr>
          <w:trHeight w:val="189"/>
        </w:trPr>
        <w:tc>
          <w:tcPr>
            <w:tcW w:w="2620" w:type="dxa"/>
            <w:vAlign w:val="bottom"/>
          </w:tcPr>
          <w:p>
            <w:pPr>
              <w:spacing w:after="0"/>
              <w:rPr>
                <w:sz w:val="20"/>
                <w:szCs w:val="20"/>
                <w:color w:val="auto"/>
              </w:rPr>
            </w:pPr>
            <w:r>
              <w:rPr>
                <w:rFonts w:ascii="Arial" w:cs="Arial" w:eastAsia="Arial" w:hAnsi="Arial"/>
                <w:sz w:val="16"/>
                <w:szCs w:val="16"/>
                <w:b w:val="1"/>
                <w:bCs w:val="1"/>
                <w:color w:val="auto"/>
              </w:rPr>
              <w:t>Gene activation Knock-in /</w:t>
            </w:r>
          </w:p>
        </w:tc>
        <w:tc>
          <w:tcPr>
            <w:tcW w:w="24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Type V Nucleases</w:t>
            </w:r>
          </w:p>
        </w:tc>
        <w:tc>
          <w:tcPr>
            <w:tcW w:w="5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620" w:type="dxa"/>
            <w:vAlign w:val="bottom"/>
            <w:vMerge w:val="restart"/>
          </w:tcPr>
          <w:p>
            <w:pPr>
              <w:spacing w:after="0"/>
              <w:rPr>
                <w:sz w:val="20"/>
                <w:szCs w:val="20"/>
                <w:color w:val="auto"/>
              </w:rPr>
            </w:pPr>
            <w:r>
              <w:rPr>
                <w:rFonts w:ascii="Arial" w:cs="Arial" w:eastAsia="Arial" w:hAnsi="Arial"/>
                <w:sz w:val="16"/>
                <w:szCs w:val="16"/>
                <w:b w:val="1"/>
                <w:bCs w:val="1"/>
                <w:color w:val="auto"/>
              </w:rPr>
              <w:t>Gene insertion Exon skipping /</w:t>
            </w:r>
          </w:p>
        </w:tc>
        <w:tc>
          <w:tcPr>
            <w:tcW w:w="2460" w:type="dxa"/>
            <w:vAlign w:val="bottom"/>
            <w:vMerge w:val="continue"/>
          </w:tcPr>
          <w:p>
            <w:pPr>
              <w:spacing w:after="0"/>
              <w:rPr>
                <w:sz w:val="11"/>
                <w:szCs w:val="11"/>
                <w:color w:val="auto"/>
              </w:rPr>
            </w:pPr>
          </w:p>
        </w:tc>
        <w:tc>
          <w:tcPr>
            <w:tcW w:w="5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620" w:type="dxa"/>
            <w:vAlign w:val="bottom"/>
            <w:vMerge w:val="continue"/>
          </w:tcPr>
          <w:p>
            <w:pPr>
              <w:spacing w:after="0"/>
              <w:rPr>
                <w:sz w:val="5"/>
                <w:szCs w:val="5"/>
                <w:color w:val="auto"/>
              </w:rPr>
            </w:pPr>
          </w:p>
        </w:tc>
        <w:tc>
          <w:tcPr>
            <w:tcW w:w="2460" w:type="dxa"/>
            <w:vAlign w:val="bottom"/>
          </w:tcPr>
          <w:p>
            <w:pPr>
              <w:spacing w:after="0"/>
              <w:rPr>
                <w:sz w:val="5"/>
                <w:szCs w:val="5"/>
                <w:color w:val="auto"/>
              </w:rPr>
            </w:pP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•   Includes ultra-small systems that expand delivery approaches (e.g, AAV)</w:t>
            </w: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6"/>
                <w:szCs w:val="16"/>
                <w:b w:val="1"/>
                <w:bCs w:val="1"/>
                <w:color w:val="auto"/>
              </w:rPr>
              <w:t>Gene modification</w:t>
            </w:r>
          </w:p>
        </w:tc>
        <w:tc>
          <w:tcPr>
            <w:tcW w:w="2460" w:type="dxa"/>
            <w:vAlign w:val="bottom"/>
          </w:tcPr>
          <w:p>
            <w:pPr>
              <w:spacing w:after="0"/>
              <w:rPr>
                <w:sz w:val="19"/>
                <w:szCs w:val="19"/>
                <w:color w:val="auto"/>
              </w:rPr>
            </w:pPr>
          </w:p>
        </w:tc>
        <w:tc>
          <w:tcPr>
            <w:tcW w:w="5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6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940" w:type="dxa"/>
            <w:vAlign w:val="bottom"/>
          </w:tcPr>
          <w:p>
            <w:pPr>
              <w:ind w:left="100"/>
              <w:spacing w:after="0"/>
              <w:rPr>
                <w:sz w:val="20"/>
                <w:szCs w:val="20"/>
                <w:color w:val="auto"/>
              </w:rPr>
            </w:pPr>
            <w:r>
              <w:rPr>
                <w:rFonts w:ascii="Arial" w:cs="Arial" w:eastAsia="Arial" w:hAnsi="Arial"/>
                <w:sz w:val="16"/>
                <w:szCs w:val="16"/>
                <w:color w:val="auto"/>
              </w:rPr>
              <w:t>•   Ultra–small systems expand delivery approaches (e.g, AAV) (Goltsman et al</w:t>
            </w: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2460" w:type="dxa"/>
            <w:vAlign w:val="bottom"/>
          </w:tcPr>
          <w:p>
            <w:pPr>
              <w:ind w:left="260"/>
              <w:spacing w:after="0"/>
              <w:rPr>
                <w:sz w:val="20"/>
                <w:szCs w:val="20"/>
                <w:color w:val="auto"/>
              </w:rPr>
            </w:pPr>
            <w:r>
              <w:rPr>
                <w:rFonts w:ascii="Arial" w:cs="Arial" w:eastAsia="Arial" w:hAnsi="Arial"/>
                <w:sz w:val="16"/>
                <w:szCs w:val="16"/>
                <w:b w:val="1"/>
                <w:bCs w:val="1"/>
                <w:color w:val="auto"/>
              </w:rPr>
              <w:t>SMART Nucleases</w:t>
            </w:r>
          </w:p>
        </w:tc>
        <w:tc>
          <w:tcPr>
            <w:tcW w:w="5940" w:type="dxa"/>
            <w:vAlign w:val="bottom"/>
          </w:tcPr>
          <w:p>
            <w:pPr>
              <w:ind w:left="260"/>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344"/>
        </w:trPr>
        <w:tc>
          <w:tcPr>
            <w:tcW w:w="26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•   Can be converted to nickases for base editing and RIGS</w:t>
            </w:r>
          </w:p>
        </w:tc>
        <w:tc>
          <w:tcPr>
            <w:tcW w:w="0" w:type="dxa"/>
            <w:vAlign w:val="bottom"/>
          </w:tcPr>
          <w:p>
            <w:pPr>
              <w:spacing w:after="0"/>
              <w:rPr>
                <w:sz w:val="1"/>
                <w:szCs w:val="1"/>
                <w:color w:val="auto"/>
              </w:rPr>
            </w:pPr>
          </w:p>
        </w:tc>
      </w:tr>
      <w:tr>
        <w:trPr>
          <w:trHeight w:val="357"/>
        </w:trPr>
        <w:tc>
          <w:tcPr>
            <w:tcW w:w="26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940" w:type="dxa"/>
            <w:vAlign w:val="bottom"/>
          </w:tcPr>
          <w:p>
            <w:pPr>
              <w:ind w:left="100"/>
              <w:spacing w:after="0"/>
              <w:rPr>
                <w:sz w:val="20"/>
                <w:szCs w:val="20"/>
                <w:color w:val="auto"/>
              </w:rPr>
            </w:pPr>
            <w:r>
              <w:rPr>
                <w:rFonts w:ascii="Arial" w:cs="Arial" w:eastAsia="Arial" w:hAnsi="Arial"/>
                <w:sz w:val="16"/>
                <w:szCs w:val="16"/>
                <w:color w:val="auto"/>
              </w:rPr>
              <w:t>•   Engineered from MG nickase and MG deaminase</w:t>
            </w:r>
          </w:p>
        </w:tc>
        <w:tc>
          <w:tcPr>
            <w:tcW w:w="0" w:type="dxa"/>
            <w:vAlign w:val="bottom"/>
          </w:tcPr>
          <w:p>
            <w:pPr>
              <w:spacing w:after="0"/>
              <w:rPr>
                <w:sz w:val="1"/>
                <w:szCs w:val="1"/>
                <w:color w:val="auto"/>
              </w:rPr>
            </w:pPr>
          </w:p>
        </w:tc>
      </w:tr>
      <w:tr>
        <w:trPr>
          <w:trHeight w:val="351"/>
        </w:trPr>
        <w:tc>
          <w:tcPr>
            <w:tcW w:w="2620" w:type="dxa"/>
            <w:vAlign w:val="bottom"/>
            <w:vMerge w:val="restart"/>
          </w:tcPr>
          <w:p>
            <w:pPr>
              <w:spacing w:after="0"/>
              <w:rPr>
                <w:sz w:val="20"/>
                <w:szCs w:val="20"/>
                <w:color w:val="auto"/>
              </w:rPr>
            </w:pPr>
            <w:r>
              <w:rPr>
                <w:rFonts w:ascii="Arial" w:cs="Arial" w:eastAsia="Arial" w:hAnsi="Arial"/>
                <w:sz w:val="16"/>
                <w:szCs w:val="16"/>
                <w:b w:val="1"/>
                <w:bCs w:val="1"/>
                <w:color w:val="auto"/>
              </w:rPr>
              <w:t>Nucleotide changes</w:t>
            </w:r>
          </w:p>
        </w:tc>
        <w:tc>
          <w:tcPr>
            <w:tcW w:w="24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ABE and CBE</w:t>
            </w:r>
          </w:p>
        </w:tc>
        <w:tc>
          <w:tcPr>
            <w:tcW w:w="5940" w:type="dxa"/>
            <w:vAlign w:val="bottom"/>
          </w:tcPr>
          <w:p>
            <w:pPr>
              <w:ind w:left="100"/>
              <w:spacing w:after="0"/>
              <w:rPr>
                <w:sz w:val="20"/>
                <w:szCs w:val="20"/>
                <w:color w:val="auto"/>
              </w:rPr>
            </w:pPr>
            <w:r>
              <w:rPr>
                <w:rFonts w:ascii="Arial" w:cs="Arial" w:eastAsia="Arial" w:hAnsi="Arial"/>
                <w:sz w:val="16"/>
                <w:szCs w:val="16"/>
                <w:color w:val="auto"/>
              </w:rPr>
              <w:t>•   CBE also include MG uracil glycosylase inhibitor (“UGI”)</w:t>
            </w:r>
          </w:p>
        </w:tc>
        <w:tc>
          <w:tcPr>
            <w:tcW w:w="0" w:type="dxa"/>
            <w:vAlign w:val="bottom"/>
          </w:tcPr>
          <w:p>
            <w:pPr>
              <w:spacing w:after="0"/>
              <w:rPr>
                <w:sz w:val="1"/>
                <w:szCs w:val="1"/>
                <w:color w:val="auto"/>
              </w:rPr>
            </w:pPr>
          </w:p>
        </w:tc>
      </w:tr>
      <w:tr>
        <w:trPr>
          <w:trHeight w:val="69"/>
        </w:trPr>
        <w:tc>
          <w:tcPr>
            <w:tcW w:w="2620" w:type="dxa"/>
            <w:vAlign w:val="bottom"/>
            <w:vMerge w:val="continue"/>
          </w:tcPr>
          <w:p>
            <w:pPr>
              <w:spacing w:after="0"/>
              <w:rPr>
                <w:sz w:val="5"/>
                <w:szCs w:val="5"/>
                <w:color w:val="auto"/>
              </w:rPr>
            </w:pPr>
          </w:p>
        </w:tc>
        <w:tc>
          <w:tcPr>
            <w:tcW w:w="2460" w:type="dxa"/>
            <w:vAlign w:val="bottom"/>
            <w:vMerge w:val="continue"/>
          </w:tcPr>
          <w:p>
            <w:pPr>
              <w:spacing w:after="0"/>
              <w:rPr>
                <w:sz w:val="5"/>
                <w:szCs w:val="5"/>
                <w:color w:val="auto"/>
              </w:rPr>
            </w:pPr>
          </w:p>
        </w:tc>
        <w:tc>
          <w:tcPr>
            <w:tcW w:w="5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620" w:type="dxa"/>
            <w:vAlign w:val="bottom"/>
            <w:vMerge w:val="restart"/>
          </w:tcPr>
          <w:p>
            <w:pPr>
              <w:spacing w:after="0"/>
              <w:rPr>
                <w:sz w:val="20"/>
                <w:szCs w:val="20"/>
                <w:color w:val="auto"/>
              </w:rPr>
            </w:pPr>
            <w:r>
              <w:rPr>
                <w:rFonts w:ascii="Arial" w:cs="Arial" w:eastAsia="Arial" w:hAnsi="Arial"/>
                <w:sz w:val="16"/>
                <w:szCs w:val="16"/>
                <w:color w:val="auto"/>
              </w:rPr>
              <w:t>(i.e. base editing)</w:t>
            </w:r>
          </w:p>
        </w:tc>
        <w:tc>
          <w:tcPr>
            <w:tcW w:w="2460" w:type="dxa"/>
            <w:vAlign w:val="bottom"/>
            <w:vMerge w:val="continue"/>
          </w:tcPr>
          <w:p>
            <w:pPr>
              <w:spacing w:after="0"/>
              <w:rPr>
                <w:sz w:val="11"/>
                <w:szCs w:val="11"/>
                <w:color w:val="auto"/>
              </w:rPr>
            </w:pP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•   Base editors engineered from type II have extensive genomic targetability</w:t>
            </w:r>
          </w:p>
        </w:tc>
        <w:tc>
          <w:tcPr>
            <w:tcW w:w="0" w:type="dxa"/>
            <w:vAlign w:val="bottom"/>
          </w:tcPr>
          <w:p>
            <w:pPr>
              <w:spacing w:after="0"/>
              <w:rPr>
                <w:sz w:val="1"/>
                <w:szCs w:val="1"/>
                <w:color w:val="auto"/>
              </w:rPr>
            </w:pPr>
          </w:p>
        </w:tc>
      </w:tr>
      <w:tr>
        <w:trPr>
          <w:trHeight w:val="87"/>
        </w:trPr>
        <w:tc>
          <w:tcPr>
            <w:tcW w:w="2620" w:type="dxa"/>
            <w:vAlign w:val="bottom"/>
            <w:vMerge w:val="continue"/>
          </w:tcPr>
          <w:p>
            <w:pPr>
              <w:spacing w:after="0"/>
              <w:rPr>
                <w:sz w:val="7"/>
                <w:szCs w:val="7"/>
                <w:color w:val="auto"/>
              </w:rPr>
            </w:pPr>
          </w:p>
        </w:tc>
        <w:tc>
          <w:tcPr>
            <w:tcW w:w="2460" w:type="dxa"/>
            <w:vAlign w:val="bottom"/>
          </w:tcPr>
          <w:p>
            <w:pPr>
              <w:spacing w:after="0"/>
              <w:rPr>
                <w:sz w:val="7"/>
                <w:szCs w:val="7"/>
                <w:color w:val="auto"/>
              </w:rPr>
            </w:pPr>
          </w:p>
        </w:tc>
        <w:tc>
          <w:tcPr>
            <w:tcW w:w="5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5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26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940" w:type="dxa"/>
            <w:vAlign w:val="bottom"/>
          </w:tcPr>
          <w:p>
            <w:pPr>
              <w:ind w:left="100"/>
              <w:spacing w:after="0"/>
              <w:rPr>
                <w:sz w:val="20"/>
                <w:szCs w:val="20"/>
                <w:color w:val="auto"/>
              </w:rPr>
            </w:pPr>
            <w:r>
              <w:rPr>
                <w:rFonts w:ascii="Arial" w:cs="Arial" w:eastAsia="Arial" w:hAnsi="Arial"/>
                <w:sz w:val="16"/>
                <w:szCs w:val="16"/>
                <w:color w:val="auto"/>
              </w:rPr>
              <w:t>•   SMART base editors are smallest nickase-based systems characterized to</w:t>
            </w:r>
          </w:p>
        </w:tc>
        <w:tc>
          <w:tcPr>
            <w:tcW w:w="0" w:type="dxa"/>
            <w:vAlign w:val="bottom"/>
          </w:tcPr>
          <w:p>
            <w:pPr>
              <w:spacing w:after="0"/>
              <w:rPr>
                <w:sz w:val="1"/>
                <w:szCs w:val="1"/>
                <w:color w:val="auto"/>
              </w:rPr>
            </w:pPr>
          </w:p>
        </w:tc>
      </w:tr>
      <w:tr>
        <w:trPr>
          <w:trHeight w:val="216"/>
        </w:trPr>
        <w:tc>
          <w:tcPr>
            <w:tcW w:w="26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59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date</w:t>
            </w: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6"/>
                <w:szCs w:val="16"/>
                <w:b w:val="1"/>
                <w:bCs w:val="1"/>
                <w:color w:val="auto"/>
              </w:rPr>
              <w:t>Small replacements /</w:t>
            </w:r>
          </w:p>
        </w:tc>
        <w:tc>
          <w:tcPr>
            <w:tcW w:w="2460" w:type="dxa"/>
            <w:vAlign w:val="bottom"/>
          </w:tcPr>
          <w:p>
            <w:pPr>
              <w:spacing w:after="0"/>
              <w:rPr>
                <w:sz w:val="19"/>
                <w:szCs w:val="19"/>
                <w:color w:val="auto"/>
              </w:rPr>
            </w:pP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•   Engineered from MG nickase and MG RT</w:t>
            </w:r>
          </w:p>
        </w:tc>
        <w:tc>
          <w:tcPr>
            <w:tcW w:w="0" w:type="dxa"/>
            <w:vAlign w:val="bottom"/>
          </w:tcPr>
          <w:p>
            <w:pPr>
              <w:spacing w:after="0"/>
              <w:rPr>
                <w:sz w:val="1"/>
                <w:szCs w:val="1"/>
                <w:color w:val="auto"/>
              </w:rPr>
            </w:pPr>
          </w:p>
        </w:tc>
      </w:tr>
      <w:tr>
        <w:trPr>
          <w:trHeight w:val="134"/>
        </w:trPr>
        <w:tc>
          <w:tcPr>
            <w:tcW w:w="2620" w:type="dxa"/>
            <w:vAlign w:val="bottom"/>
            <w:vMerge w:val="restart"/>
          </w:tcPr>
          <w:p>
            <w:pPr>
              <w:spacing w:after="0"/>
              <w:rPr>
                <w:sz w:val="20"/>
                <w:szCs w:val="20"/>
                <w:color w:val="auto"/>
              </w:rPr>
            </w:pPr>
            <w:r>
              <w:rPr>
                <w:rFonts w:ascii="Arial" w:cs="Arial" w:eastAsia="Arial" w:hAnsi="Arial"/>
                <w:sz w:val="16"/>
                <w:szCs w:val="16"/>
                <w:b w:val="1"/>
                <w:bCs w:val="1"/>
                <w:color w:val="auto"/>
              </w:rPr>
              <w:t>corrections (1-100 base</w:t>
            </w:r>
          </w:p>
        </w:tc>
        <w:tc>
          <w:tcPr>
            <w:tcW w:w="2460" w:type="dxa"/>
            <w:vAlign w:val="bottom"/>
          </w:tcPr>
          <w:p>
            <w:pPr>
              <w:spacing w:after="0"/>
              <w:rPr>
                <w:sz w:val="11"/>
                <w:szCs w:val="11"/>
                <w:color w:val="auto"/>
              </w:rPr>
            </w:pPr>
          </w:p>
        </w:tc>
        <w:tc>
          <w:tcPr>
            <w:tcW w:w="5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620" w:type="dxa"/>
            <w:vAlign w:val="bottom"/>
            <w:vMerge w:val="continue"/>
          </w:tcPr>
          <w:p>
            <w:pPr>
              <w:spacing w:after="0"/>
              <w:rPr>
                <w:sz w:val="4"/>
                <w:szCs w:val="4"/>
                <w:color w:val="auto"/>
              </w:rPr>
            </w:pPr>
          </w:p>
        </w:tc>
        <w:tc>
          <w:tcPr>
            <w:tcW w:w="2460" w:type="dxa"/>
            <w:vAlign w:val="bottom"/>
          </w:tcPr>
          <w:p>
            <w:pPr>
              <w:spacing w:after="0"/>
              <w:rPr>
                <w:sz w:val="4"/>
                <w:szCs w:val="4"/>
                <w:color w:val="auto"/>
              </w:rPr>
            </w:pPr>
          </w:p>
        </w:tc>
        <w:tc>
          <w:tcPr>
            <w:tcW w:w="5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20"/>
                <w:szCs w:val="20"/>
                <w:color w:val="auto"/>
              </w:rPr>
            </w:pPr>
            <w:r>
              <w:rPr>
                <w:rFonts w:ascii="Arial" w:cs="Arial" w:eastAsia="Arial" w:hAnsi="Arial"/>
                <w:sz w:val="16"/>
                <w:szCs w:val="16"/>
                <w:b w:val="1"/>
                <w:bCs w:val="1"/>
                <w:color w:val="auto"/>
              </w:rPr>
              <w:t>pair replacement,</w:t>
            </w:r>
          </w:p>
        </w:tc>
        <w:tc>
          <w:tcPr>
            <w:tcW w:w="2460" w:type="dxa"/>
            <w:vAlign w:val="bottom"/>
          </w:tcPr>
          <w:p>
            <w:pPr>
              <w:ind w:left="260"/>
              <w:spacing w:after="0"/>
              <w:rPr>
                <w:sz w:val="20"/>
                <w:szCs w:val="20"/>
                <w:color w:val="auto"/>
              </w:rPr>
            </w:pPr>
            <w:r>
              <w:rPr>
                <w:rFonts w:ascii="Arial" w:cs="Arial" w:eastAsia="Arial" w:hAnsi="Arial"/>
                <w:sz w:val="16"/>
                <w:szCs w:val="16"/>
                <w:b w:val="1"/>
                <w:bCs w:val="1"/>
                <w:color w:val="auto"/>
              </w:rPr>
              <w:t>Little RIGS</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•   Ultra-small RTs are highly active and accurate for prime editing</w:t>
            </w:r>
          </w:p>
        </w:tc>
        <w:tc>
          <w:tcPr>
            <w:tcW w:w="0" w:type="dxa"/>
            <w:vAlign w:val="bottom"/>
          </w:tcPr>
          <w:p>
            <w:pPr>
              <w:spacing w:after="0"/>
              <w:rPr>
                <w:sz w:val="1"/>
                <w:szCs w:val="1"/>
                <w:color w:val="auto"/>
              </w:rPr>
            </w:pPr>
          </w:p>
        </w:tc>
      </w:tr>
      <w:tr>
        <w:trPr>
          <w:trHeight w:val="107"/>
        </w:trPr>
        <w:tc>
          <w:tcPr>
            <w:tcW w:w="2620" w:type="dxa"/>
            <w:vAlign w:val="bottom"/>
            <w:vMerge w:val="restart"/>
          </w:tcPr>
          <w:p>
            <w:pPr>
              <w:spacing w:after="0"/>
              <w:rPr>
                <w:sz w:val="20"/>
                <w:szCs w:val="20"/>
                <w:color w:val="auto"/>
              </w:rPr>
            </w:pPr>
            <w:r>
              <w:rPr>
                <w:rFonts w:ascii="Arial" w:cs="Arial" w:eastAsia="Arial" w:hAnsi="Arial"/>
                <w:sz w:val="16"/>
                <w:szCs w:val="16"/>
                <w:b w:val="1"/>
                <w:bCs w:val="1"/>
                <w:color w:val="auto"/>
              </w:rPr>
              <w:t>insertion, or deletion)</w:t>
            </w:r>
          </w:p>
        </w:tc>
        <w:tc>
          <w:tcPr>
            <w:tcW w:w="246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620" w:type="dxa"/>
            <w:vAlign w:val="bottom"/>
            <w:vMerge w:val="continue"/>
          </w:tcPr>
          <w:p>
            <w:pPr>
              <w:spacing w:after="0"/>
              <w:rPr>
                <w:sz w:val="7"/>
                <w:szCs w:val="7"/>
                <w:color w:val="auto"/>
              </w:rPr>
            </w:pPr>
          </w:p>
        </w:tc>
        <w:tc>
          <w:tcPr>
            <w:tcW w:w="2460" w:type="dxa"/>
            <w:vAlign w:val="bottom"/>
          </w:tcPr>
          <w:p>
            <w:pPr>
              <w:spacing w:after="0"/>
              <w:rPr>
                <w:sz w:val="7"/>
                <w:szCs w:val="7"/>
                <w:color w:val="auto"/>
              </w:rPr>
            </w:pPr>
          </w:p>
        </w:tc>
        <w:tc>
          <w:tcPr>
            <w:tcW w:w="5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(i.e. prime editing)</w:t>
            </w:r>
          </w:p>
        </w:tc>
        <w:tc>
          <w:tcPr>
            <w:tcW w:w="2460" w:type="dxa"/>
            <w:vAlign w:val="bottom"/>
            <w:tcBorders>
              <w:bottom w:val="single" w:sz="8" w:color="auto"/>
            </w:tcBorders>
          </w:tcPr>
          <w:p>
            <w:pPr>
              <w:spacing w:after="0"/>
              <w:rPr>
                <w:sz w:val="23"/>
                <w:szCs w:val="23"/>
                <w:color w:val="auto"/>
              </w:rPr>
            </w:pPr>
          </w:p>
        </w:tc>
        <w:tc>
          <w:tcPr>
            <w:tcW w:w="5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•   Enabled by extensive targetability and deliverability of MG nickases</w:t>
            </w:r>
          </w:p>
        </w:tc>
        <w:tc>
          <w:tcPr>
            <w:tcW w:w="0" w:type="dxa"/>
            <w:vAlign w:val="bottom"/>
          </w:tcPr>
          <w:p>
            <w:pPr>
              <w:spacing w:after="0"/>
              <w:rPr>
                <w:sz w:val="1"/>
                <w:szCs w:val="1"/>
                <w:color w:val="auto"/>
              </w:rPr>
            </w:pPr>
          </w:p>
        </w:tc>
      </w:tr>
      <w:tr>
        <w:trPr>
          <w:trHeight w:val="357"/>
        </w:trPr>
        <w:tc>
          <w:tcPr>
            <w:tcW w:w="26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940" w:type="dxa"/>
            <w:vAlign w:val="bottom"/>
          </w:tcPr>
          <w:p>
            <w:pPr>
              <w:ind w:left="100"/>
              <w:spacing w:after="0"/>
              <w:rPr>
                <w:sz w:val="20"/>
                <w:szCs w:val="20"/>
                <w:color w:val="auto"/>
              </w:rPr>
            </w:pPr>
            <w:r>
              <w:rPr>
                <w:rFonts w:ascii="Arial" w:cs="Arial" w:eastAsia="Arial" w:hAnsi="Arial"/>
                <w:sz w:val="16"/>
                <w:szCs w:val="16"/>
                <w:color w:val="auto"/>
              </w:rPr>
              <w:t>•   Engineered from MG nickase and MG RT</w:t>
            </w:r>
          </w:p>
        </w:tc>
        <w:tc>
          <w:tcPr>
            <w:tcW w:w="0" w:type="dxa"/>
            <w:vAlign w:val="bottom"/>
          </w:tcPr>
          <w:p>
            <w:pPr>
              <w:spacing w:after="0"/>
              <w:rPr>
                <w:sz w:val="1"/>
                <w:szCs w:val="1"/>
                <w:color w:val="auto"/>
              </w:rPr>
            </w:pPr>
          </w:p>
        </w:tc>
      </w:tr>
      <w:tr>
        <w:trPr>
          <w:trHeight w:val="351"/>
        </w:trPr>
        <w:tc>
          <w:tcPr>
            <w:tcW w:w="2620" w:type="dxa"/>
            <w:vAlign w:val="bottom"/>
          </w:tcPr>
          <w:p>
            <w:pPr>
              <w:spacing w:after="0"/>
              <w:rPr>
                <w:sz w:val="24"/>
                <w:szCs w:val="24"/>
                <w:color w:val="auto"/>
              </w:rPr>
            </w:pPr>
          </w:p>
        </w:tc>
        <w:tc>
          <w:tcPr>
            <w:tcW w:w="24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RNA-templated: Big RIGS</w:t>
            </w:r>
          </w:p>
        </w:tc>
        <w:tc>
          <w:tcPr>
            <w:tcW w:w="5940" w:type="dxa"/>
            <w:vAlign w:val="bottom"/>
          </w:tcPr>
          <w:p>
            <w:pPr>
              <w:ind w:left="100"/>
              <w:spacing w:after="0"/>
              <w:rPr>
                <w:sz w:val="20"/>
                <w:szCs w:val="20"/>
                <w:color w:val="auto"/>
              </w:rPr>
            </w:pPr>
            <w:r>
              <w:rPr>
                <w:rFonts w:ascii="Arial" w:cs="Arial" w:eastAsia="Arial" w:hAnsi="Arial"/>
                <w:sz w:val="16"/>
                <w:szCs w:val="16"/>
                <w:color w:val="auto"/>
              </w:rPr>
              <w:t>•   MG RT are accurate, and can convert &gt;4,000 bp RNA templates into DNA</w:t>
            </w:r>
          </w:p>
        </w:tc>
        <w:tc>
          <w:tcPr>
            <w:tcW w:w="0" w:type="dxa"/>
            <w:vAlign w:val="bottom"/>
          </w:tcPr>
          <w:p>
            <w:pPr>
              <w:spacing w:after="0"/>
              <w:rPr>
                <w:sz w:val="1"/>
                <w:szCs w:val="1"/>
                <w:color w:val="auto"/>
              </w:rPr>
            </w:pPr>
          </w:p>
        </w:tc>
      </w:tr>
      <w:tr>
        <w:trPr>
          <w:trHeight w:val="102"/>
        </w:trPr>
        <w:tc>
          <w:tcPr>
            <w:tcW w:w="2620" w:type="dxa"/>
            <w:vAlign w:val="bottom"/>
          </w:tcPr>
          <w:p>
            <w:pPr>
              <w:spacing w:after="0"/>
              <w:rPr>
                <w:sz w:val="8"/>
                <w:szCs w:val="8"/>
                <w:color w:val="auto"/>
              </w:rPr>
            </w:pPr>
          </w:p>
        </w:tc>
        <w:tc>
          <w:tcPr>
            <w:tcW w:w="2460" w:type="dxa"/>
            <w:vAlign w:val="bottom"/>
            <w:vMerge w:val="continue"/>
          </w:tcPr>
          <w:p>
            <w:pPr>
              <w:spacing w:after="0"/>
              <w:rPr>
                <w:sz w:val="8"/>
                <w:szCs w:val="8"/>
                <w:color w:val="auto"/>
              </w:rPr>
            </w:pPr>
          </w:p>
        </w:tc>
        <w:tc>
          <w:tcPr>
            <w:tcW w:w="5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6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940" w:type="dxa"/>
            <w:vAlign w:val="bottom"/>
          </w:tcPr>
          <w:p>
            <w:pPr>
              <w:ind w:left="100"/>
              <w:spacing w:after="0"/>
              <w:rPr>
                <w:sz w:val="20"/>
                <w:szCs w:val="20"/>
                <w:color w:val="auto"/>
              </w:rPr>
            </w:pPr>
            <w:r>
              <w:rPr>
                <w:rFonts w:ascii="Arial" w:cs="Arial" w:eastAsia="Arial" w:hAnsi="Arial"/>
                <w:sz w:val="16"/>
                <w:szCs w:val="16"/>
                <w:color w:val="auto"/>
              </w:rPr>
              <w:t>•   Programmable integration of large transgenes delivered as RNA</w:t>
            </w:r>
          </w:p>
        </w:tc>
        <w:tc>
          <w:tcPr>
            <w:tcW w:w="0" w:type="dxa"/>
            <w:vAlign w:val="bottom"/>
          </w:tcPr>
          <w:p>
            <w:pPr>
              <w:spacing w:after="0"/>
              <w:rPr>
                <w:sz w:val="1"/>
                <w:szCs w:val="1"/>
                <w:color w:val="auto"/>
              </w:rPr>
            </w:pPr>
          </w:p>
        </w:tc>
      </w:tr>
      <w:tr>
        <w:trPr>
          <w:trHeight w:val="339"/>
        </w:trPr>
        <w:tc>
          <w:tcPr>
            <w:tcW w:w="2620" w:type="dxa"/>
            <w:vAlign w:val="bottom"/>
          </w:tcPr>
          <w:p>
            <w:pPr>
              <w:spacing w:after="0"/>
              <w:rPr>
                <w:sz w:val="20"/>
                <w:szCs w:val="20"/>
                <w:color w:val="auto"/>
              </w:rPr>
            </w:pPr>
            <w:r>
              <w:rPr>
                <w:rFonts w:ascii="Arial" w:cs="Arial" w:eastAsia="Arial" w:hAnsi="Arial"/>
                <w:sz w:val="16"/>
                <w:szCs w:val="16"/>
                <w:b w:val="1"/>
                <w:bCs w:val="1"/>
                <w:color w:val="auto"/>
              </w:rPr>
              <w:t>Large insertions</w:t>
            </w:r>
          </w:p>
        </w:tc>
        <w:tc>
          <w:tcPr>
            <w:tcW w:w="2460" w:type="dxa"/>
            <w:vAlign w:val="bottom"/>
          </w:tcPr>
          <w:p>
            <w:pPr>
              <w:spacing w:after="0"/>
              <w:rPr>
                <w:sz w:val="24"/>
                <w:szCs w:val="24"/>
                <w:color w:val="auto"/>
              </w:rPr>
            </w:pPr>
          </w:p>
        </w:tc>
        <w:tc>
          <w:tcPr>
            <w:tcW w:w="5940" w:type="dxa"/>
            <w:vAlign w:val="bottom"/>
          </w:tcPr>
          <w:p>
            <w:pPr>
              <w:ind w:left="100"/>
              <w:spacing w:after="0"/>
              <w:rPr>
                <w:sz w:val="20"/>
                <w:szCs w:val="20"/>
                <w:color w:val="auto"/>
              </w:rPr>
            </w:pPr>
            <w:r>
              <w:rPr>
                <w:rFonts w:ascii="Arial" w:cs="Arial" w:eastAsia="Arial" w:hAnsi="Arial"/>
                <w:sz w:val="16"/>
                <w:szCs w:val="16"/>
                <w:color w:val="auto"/>
              </w:rPr>
              <w:t>•   Potential first-in-class technology</w:t>
            </w:r>
          </w:p>
        </w:tc>
        <w:tc>
          <w:tcPr>
            <w:tcW w:w="0" w:type="dxa"/>
            <w:vAlign w:val="bottom"/>
          </w:tcPr>
          <w:p>
            <w:pPr>
              <w:spacing w:after="0"/>
              <w:rPr>
                <w:sz w:val="1"/>
                <w:szCs w:val="1"/>
                <w:color w:val="auto"/>
              </w:rPr>
            </w:pPr>
          </w:p>
        </w:tc>
      </w:tr>
      <w:tr>
        <w:trPr>
          <w:trHeight w:val="189"/>
        </w:trPr>
        <w:tc>
          <w:tcPr>
            <w:tcW w:w="2620" w:type="dxa"/>
            <w:vAlign w:val="bottom"/>
          </w:tcPr>
          <w:p>
            <w:pPr>
              <w:spacing w:after="0"/>
              <w:rPr>
                <w:sz w:val="20"/>
                <w:szCs w:val="20"/>
                <w:color w:val="auto"/>
              </w:rPr>
            </w:pPr>
            <w:r>
              <w:rPr>
                <w:rFonts w:ascii="Arial" w:cs="Arial" w:eastAsia="Arial" w:hAnsi="Arial"/>
                <w:sz w:val="16"/>
                <w:szCs w:val="16"/>
                <w:color w:val="auto"/>
              </w:rPr>
              <w:t>(&gt;100 base pair</w:t>
            </w:r>
          </w:p>
        </w:tc>
        <w:tc>
          <w:tcPr>
            <w:tcW w:w="2460" w:type="dxa"/>
            <w:vAlign w:val="bottom"/>
          </w:tcPr>
          <w:p>
            <w:pPr>
              <w:spacing w:after="0"/>
              <w:rPr>
                <w:sz w:val="16"/>
                <w:szCs w:val="16"/>
                <w:color w:val="auto"/>
              </w:rPr>
            </w:pP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•   CASTs are naturally occurring programmable transposase systems</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20"/>
                <w:szCs w:val="20"/>
                <w:color w:val="auto"/>
              </w:rPr>
            </w:pPr>
            <w:r>
              <w:rPr>
                <w:rFonts w:ascii="Arial" w:cs="Arial" w:eastAsia="Arial" w:hAnsi="Arial"/>
                <w:sz w:val="16"/>
                <w:szCs w:val="16"/>
                <w:color w:val="auto"/>
              </w:rPr>
              <w:t>integrations)</w:t>
            </w:r>
          </w:p>
        </w:tc>
        <w:tc>
          <w:tcPr>
            <w:tcW w:w="2460" w:type="dxa"/>
            <w:vAlign w:val="bottom"/>
          </w:tcPr>
          <w:p>
            <w:pPr>
              <w:spacing w:after="0"/>
              <w:rPr>
                <w:sz w:val="18"/>
                <w:szCs w:val="18"/>
                <w:color w:val="auto"/>
              </w:rPr>
            </w:pPr>
          </w:p>
        </w:tc>
        <w:tc>
          <w:tcPr>
            <w:tcW w:w="5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2620" w:type="dxa"/>
            <w:vAlign w:val="bottom"/>
          </w:tcPr>
          <w:p>
            <w:pPr>
              <w:spacing w:after="0"/>
              <w:rPr>
                <w:sz w:val="24"/>
                <w:szCs w:val="24"/>
                <w:color w:val="auto"/>
              </w:rPr>
            </w:pPr>
          </w:p>
        </w:tc>
        <w:tc>
          <w:tcPr>
            <w:tcW w:w="24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DNA-templated: CAST and</w:t>
            </w:r>
          </w:p>
        </w:tc>
        <w:tc>
          <w:tcPr>
            <w:tcW w:w="5940" w:type="dxa"/>
            <w:vAlign w:val="bottom"/>
          </w:tcPr>
          <w:p>
            <w:pPr>
              <w:ind w:left="100"/>
              <w:spacing w:after="0"/>
              <w:rPr>
                <w:sz w:val="20"/>
                <w:szCs w:val="20"/>
                <w:color w:val="auto"/>
              </w:rPr>
            </w:pPr>
            <w:r>
              <w:rPr>
                <w:rFonts w:ascii="Arial" w:cs="Arial" w:eastAsia="Arial" w:hAnsi="Arial"/>
                <w:sz w:val="16"/>
                <w:szCs w:val="16"/>
                <w:color w:val="auto"/>
              </w:rPr>
              <w:t>•   Ability to site-specifically integrate large transgenes delivered as DNA, possibly</w:t>
            </w:r>
          </w:p>
        </w:tc>
        <w:tc>
          <w:tcPr>
            <w:tcW w:w="0" w:type="dxa"/>
            <w:vAlign w:val="bottom"/>
          </w:tcPr>
          <w:p>
            <w:pPr>
              <w:spacing w:after="0"/>
              <w:rPr>
                <w:sz w:val="1"/>
                <w:szCs w:val="1"/>
                <w:color w:val="auto"/>
              </w:rPr>
            </w:pPr>
          </w:p>
        </w:tc>
      </w:tr>
      <w:tr>
        <w:trPr>
          <w:trHeight w:val="95"/>
        </w:trPr>
        <w:tc>
          <w:tcPr>
            <w:tcW w:w="2620" w:type="dxa"/>
            <w:vAlign w:val="bottom"/>
          </w:tcPr>
          <w:p>
            <w:pPr>
              <w:spacing w:after="0"/>
              <w:rPr>
                <w:sz w:val="8"/>
                <w:szCs w:val="8"/>
                <w:color w:val="auto"/>
              </w:rPr>
            </w:pPr>
          </w:p>
        </w:tc>
        <w:tc>
          <w:tcPr>
            <w:tcW w:w="2460" w:type="dxa"/>
            <w:vAlign w:val="bottom"/>
            <w:vMerge w:val="continue"/>
          </w:tcPr>
          <w:p>
            <w:pPr>
              <w:spacing w:after="0"/>
              <w:rPr>
                <w:sz w:val="8"/>
                <w:szCs w:val="8"/>
                <w:color w:val="auto"/>
              </w:rPr>
            </w:pPr>
          </w:p>
        </w:tc>
        <w:tc>
          <w:tcPr>
            <w:tcW w:w="5940" w:type="dxa"/>
            <w:vAlign w:val="bottom"/>
            <w:vMerge w:val="restart"/>
          </w:tcPr>
          <w:p>
            <w:pPr>
              <w:ind w:left="260"/>
              <w:spacing w:after="0"/>
              <w:rPr>
                <w:sz w:val="20"/>
                <w:szCs w:val="20"/>
                <w:color w:val="auto"/>
              </w:rPr>
            </w:pPr>
            <w:r>
              <w:rPr>
                <w:rFonts w:ascii="Arial" w:cs="Arial" w:eastAsia="Arial" w:hAnsi="Arial"/>
                <w:sz w:val="16"/>
                <w:szCs w:val="16"/>
                <w:color w:val="auto"/>
              </w:rPr>
              <w:t>including templates much larger than 4,000 bp</w:t>
            </w:r>
          </w:p>
        </w:tc>
        <w:tc>
          <w:tcPr>
            <w:tcW w:w="0" w:type="dxa"/>
            <w:vAlign w:val="bottom"/>
          </w:tcPr>
          <w:p>
            <w:pPr>
              <w:spacing w:after="0"/>
              <w:rPr>
                <w:sz w:val="1"/>
                <w:szCs w:val="1"/>
                <w:color w:val="auto"/>
              </w:rPr>
            </w:pPr>
          </w:p>
        </w:tc>
      </w:tr>
      <w:tr>
        <w:trPr>
          <w:trHeight w:val="120"/>
        </w:trPr>
        <w:tc>
          <w:tcPr>
            <w:tcW w:w="2620" w:type="dxa"/>
            <w:vAlign w:val="bottom"/>
          </w:tcPr>
          <w:p>
            <w:pPr>
              <w:spacing w:after="0"/>
              <w:rPr>
                <w:sz w:val="10"/>
                <w:szCs w:val="10"/>
                <w:color w:val="auto"/>
              </w:rPr>
            </w:pPr>
          </w:p>
        </w:tc>
        <w:tc>
          <w:tcPr>
            <w:tcW w:w="24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other systems</w:t>
            </w:r>
          </w:p>
        </w:tc>
        <w:tc>
          <w:tcPr>
            <w:tcW w:w="5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620" w:type="dxa"/>
            <w:vAlign w:val="bottom"/>
          </w:tcPr>
          <w:p>
            <w:pPr>
              <w:spacing w:after="0"/>
              <w:rPr>
                <w:sz w:val="8"/>
                <w:szCs w:val="8"/>
                <w:color w:val="auto"/>
              </w:rPr>
            </w:pPr>
          </w:p>
        </w:tc>
        <w:tc>
          <w:tcPr>
            <w:tcW w:w="2460" w:type="dxa"/>
            <w:vAlign w:val="bottom"/>
            <w:vMerge w:val="continue"/>
          </w:tcPr>
          <w:p>
            <w:pPr>
              <w:spacing w:after="0"/>
              <w:rPr>
                <w:sz w:val="8"/>
                <w:szCs w:val="8"/>
                <w:color w:val="auto"/>
              </w:rPr>
            </w:pPr>
          </w:p>
        </w:tc>
        <w:tc>
          <w:tcPr>
            <w:tcW w:w="5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6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940" w:type="dxa"/>
            <w:vAlign w:val="bottom"/>
          </w:tcPr>
          <w:p>
            <w:pPr>
              <w:ind w:left="100"/>
              <w:spacing w:after="0"/>
              <w:rPr>
                <w:sz w:val="20"/>
                <w:szCs w:val="20"/>
                <w:color w:val="auto"/>
              </w:rPr>
            </w:pPr>
            <w:r>
              <w:rPr>
                <w:rFonts w:ascii="Arial" w:cs="Arial" w:eastAsia="Arial" w:hAnsi="Arial"/>
                <w:sz w:val="16"/>
                <w:szCs w:val="16"/>
                <w:color w:val="auto"/>
              </w:rPr>
              <w:t>•   Potential to addresses any genetic disease driven by loss of function</w:t>
            </w:r>
          </w:p>
        </w:tc>
        <w:tc>
          <w:tcPr>
            <w:tcW w:w="0" w:type="dxa"/>
            <w:vAlign w:val="bottom"/>
          </w:tcPr>
          <w:p>
            <w:pPr>
              <w:spacing w:after="0"/>
              <w:rPr>
                <w:sz w:val="1"/>
                <w:szCs w:val="1"/>
                <w:color w:val="auto"/>
              </w:rPr>
            </w:pPr>
          </w:p>
        </w:tc>
      </w:tr>
      <w:tr>
        <w:trPr>
          <w:trHeight w:val="352"/>
        </w:trPr>
        <w:tc>
          <w:tcPr>
            <w:tcW w:w="26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•   Potential first-in-class technology</w:t>
            </w:r>
          </w:p>
        </w:tc>
        <w:tc>
          <w:tcPr>
            <w:tcW w:w="0" w:type="dxa"/>
            <w:vAlign w:val="bottom"/>
          </w:tcPr>
          <w:p>
            <w:pPr>
              <w:spacing w:after="0"/>
              <w:rPr>
                <w:sz w:val="1"/>
                <w:szCs w:val="1"/>
                <w:color w:val="auto"/>
              </w:rPr>
            </w:pPr>
          </w:p>
        </w:tc>
      </w:tr>
      <w:tr>
        <w:trPr>
          <w:trHeight w:val="363"/>
        </w:trPr>
        <w:tc>
          <w:tcPr>
            <w:tcW w:w="26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940" w:type="dxa"/>
            <w:vAlign w:val="bottom"/>
          </w:tcPr>
          <w:p>
            <w:pPr>
              <w:ind w:left="28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-1283335</wp:posOffset>
            </wp:positionV>
            <wp:extent cx="5262880" cy="336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62880" cy="33655"/>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-4489450</wp:posOffset>
            </wp:positionV>
            <wp:extent cx="5262880" cy="336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62880" cy="33655"/>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-4969510</wp:posOffset>
            </wp:positionV>
            <wp:extent cx="5262880" cy="336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62880" cy="336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All components of our toolbox have been discovered and derived from our proprietary metagenomics library. We have assembled a full suite of differentiated tools that, together, can potentially effectuate any desired gene modification – gene knock-down, gene knock-in and replacements. We believe there is no other single platform enabling the breadth and differentiation of genome editing technologies as our toolbox. All elements of our toolbox are wholly owned, and we have constructed a broad patent estate that protects our intellectual property, and it will continue to expand as we discover, interrogate, and optimize our novel editing systems. As we continue to expand our metagenomic library, we expect to make additional discoveries of novel genome editing technology. The core technologies in our toolbox to date are outlined in the above table.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Key Attributes of Our Proprietary Toolbox</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Key advantages of our platform and technologies are:</w:t>
      </w:r>
    </w:p>
    <w:p>
      <w:pPr>
        <w:spacing w:after="0" w:line="144" w:lineRule="exact"/>
        <w:rPr>
          <w:sz w:val="20"/>
          <w:szCs w:val="20"/>
          <w:color w:val="auto"/>
        </w:rPr>
      </w:pPr>
    </w:p>
    <w:p>
      <w:pPr>
        <w:ind w:left="540" w:hanging="424"/>
        <w:spacing w:after="0" w:line="242"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Potential to create a full spectrum of genetic medicines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broad suite of genome editing technologies include: programmable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nucleases, base editors, RIGS and CASTs, that, together, can potentially effectuate any desired modification to the genome – gene knock-down, gene knock-in, and replacements. This allows us to address a diverse set of mutations by matching the right tool to a specific target, with limited unintended effects such as off-target editing. As such, we intend to prosecute a genetic medicine therapeutic development strategy across a broad array of diseases and target organs including liver, central nervous system, muscle, kidney, and lung.</w:t>
      </w:r>
    </w:p>
    <w:p>
      <w:pPr>
        <w:spacing w:after="0" w:line="111" w:lineRule="exact"/>
        <w:rPr>
          <w:rFonts w:ascii="Arial" w:cs="Arial" w:eastAsia="Arial" w:hAnsi="Arial"/>
          <w:sz w:val="18"/>
          <w:szCs w:val="18"/>
          <w:color w:val="auto"/>
        </w:rPr>
      </w:pPr>
    </w:p>
    <w:p>
      <w:pPr>
        <w:ind w:left="540" w:right="300" w:hanging="424"/>
        <w:spacing w:after="0" w:line="244"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Potential first-in-class genome editing systems </w:t>
      </w:r>
      <w:r>
        <w:rPr>
          <w:rFonts w:ascii="Arial" w:cs="Arial" w:eastAsia="Arial" w:hAnsi="Arial"/>
          <w:sz w:val="18"/>
          <w:szCs w:val="18"/>
          <w:color w:val="auto"/>
        </w:rPr>
        <w:t>– Our scientific underpinnings based in metagenomics provides a continuous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 for discovering and developing potential next generation, first-in-class genome editing systems. For example, RIGS and CAST. As we continue to build upon our metagenomic library we expect to expand our toolbox as we make more discoveries. We have constructed a broad patent estate that protects our intellectual property, and it will continue to expand as we discover, interrogate, and optimize our novel editing systems.</w:t>
      </w:r>
    </w:p>
    <w:p>
      <w:pPr>
        <w:spacing w:after="0" w:line="108" w:lineRule="exact"/>
        <w:rPr>
          <w:rFonts w:ascii="Arial" w:cs="Arial" w:eastAsia="Arial" w:hAnsi="Arial"/>
          <w:sz w:val="18"/>
          <w:szCs w:val="18"/>
          <w:color w:val="auto"/>
        </w:rPr>
      </w:pPr>
    </w:p>
    <w:p>
      <w:pPr>
        <w:ind w:left="540" w:right="80" w:hanging="424"/>
        <w:spacing w:after="0" w:line="244" w:lineRule="auto"/>
        <w:tabs>
          <w:tab w:leader="none" w:pos="540" w:val="left"/>
        </w:tabs>
        <w:numPr>
          <w:ilvl w:val="0"/>
          <w:numId w:val="7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Ultra-small nuclease platform to expand </w:t>
      </w:r>
      <w:r>
        <w:rPr>
          <w:rFonts w:ascii="Arial" w:cs="Arial" w:eastAsia="Arial" w:hAnsi="Arial"/>
          <w:sz w:val="18"/>
          <w:szCs w:val="18"/>
          <w:b w:val="1"/>
          <w:bCs w:val="1"/>
          <w:color w:val="auto"/>
        </w:rPr>
        <w:t>in vivo</w:t>
      </w:r>
      <w:r>
        <w:rPr>
          <w:rFonts w:ascii="Arial" w:cs="Arial" w:eastAsia="Arial" w:hAnsi="Arial"/>
          <w:sz w:val="18"/>
          <w:szCs w:val="18"/>
          <w:b w:val="1"/>
          <w:bCs w:val="1"/>
          <w:i w:val="1"/>
          <w:iCs w:val="1"/>
          <w:color w:val="auto"/>
        </w:rPr>
        <w:t xml:space="preserve"> delivery of multiple genome editing systems </w:t>
      </w:r>
      <w:r>
        <w:rPr>
          <w:rFonts w:ascii="Arial" w:cs="Arial" w:eastAsia="Arial" w:hAnsi="Arial"/>
          <w:sz w:val="18"/>
          <w:szCs w:val="18"/>
          <w:color w:val="auto"/>
        </w:rPr>
        <w:t>– Compact systems create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 advantages for delivery, manufacturing, and dosing. For example, at 429 aa in length the SMART nuclease is a fraction of the size of the industry-standard SpCas9 system, which is 1,300 aa and exceeds the delivery capacity of standard AAV vectors. The ability to package our systems into a single AAV will enable more efficient targeting of organs and diseases beyond what is currently possible with LNP delivery.</w:t>
      </w:r>
    </w:p>
    <w:p>
      <w:pPr>
        <w:spacing w:after="0" w:line="108" w:lineRule="exact"/>
        <w:rPr>
          <w:rFonts w:ascii="Arial" w:cs="Arial" w:eastAsia="Arial" w:hAnsi="Arial"/>
          <w:sz w:val="18"/>
          <w:szCs w:val="18"/>
          <w:i w:val="1"/>
          <w:iCs w:val="1"/>
          <w:color w:val="auto"/>
        </w:rPr>
      </w:pPr>
    </w:p>
    <w:p>
      <w:pPr>
        <w:ind w:left="540" w:right="100" w:hanging="424"/>
        <w:spacing w:after="0" w:line="244"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Designed to edit any target in the human genome </w:t>
      </w:r>
      <w:r>
        <w:rPr>
          <w:rFonts w:ascii="Arial" w:cs="Arial" w:eastAsia="Arial" w:hAnsi="Arial"/>
          <w:sz w:val="18"/>
          <w:szCs w:val="18"/>
          <w:color w:val="auto"/>
        </w:rPr>
        <w:t>– Our metagenomics library contains hundreds of nucleases with diverse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targeting abilities that allow us to address a diverse set of mutations that cause disease, including those found at sites that often cannot be targeted by first-generation nucleases. This allows us to select the ideal nuclease for any target site of interest. Given the measured targeting density of our toolbox, we believe that essentially any codon in the human genome could be addressed with our gene editing systems.</w:t>
      </w:r>
    </w:p>
    <w:p>
      <w:pPr>
        <w:spacing w:after="0" w:line="108" w:lineRule="exact"/>
        <w:rPr>
          <w:rFonts w:ascii="Arial" w:cs="Arial" w:eastAsia="Arial" w:hAnsi="Arial"/>
          <w:sz w:val="18"/>
          <w:szCs w:val="18"/>
          <w:color w:val="auto"/>
        </w:rPr>
      </w:pPr>
    </w:p>
    <w:p>
      <w:pPr>
        <w:ind w:left="540" w:hanging="424"/>
        <w:spacing w:after="0" w:line="247"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Shortened optimization period – </w:t>
      </w:r>
      <w:r>
        <w:rPr>
          <w:rFonts w:ascii="Arial" w:cs="Arial" w:eastAsia="Arial" w:hAnsi="Arial"/>
          <w:sz w:val="18"/>
          <w:szCs w:val="18"/>
          <w:color w:val="auto"/>
        </w:rPr>
        <w:t>We benefit from a diverse set of highly-active nucleases and effectors which have required little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protein engineering to optimize. These highly active natural enzymes allow us to quickly identify systems for therapeutic development. As a result of not having to heavily engineer systems to be active in human genome editing applications, we are able to move quickly from discovery to candidate nomination for particular genetic disease applications.</w:t>
      </w:r>
    </w:p>
    <w:p>
      <w:pPr>
        <w:spacing w:after="0" w:line="106" w:lineRule="exact"/>
        <w:rPr>
          <w:rFonts w:ascii="Arial" w:cs="Arial" w:eastAsia="Arial" w:hAnsi="Arial"/>
          <w:sz w:val="18"/>
          <w:szCs w:val="18"/>
          <w:color w:val="auto"/>
        </w:rPr>
      </w:pPr>
    </w:p>
    <w:p>
      <w:pPr>
        <w:ind w:left="540" w:right="140" w:hanging="424"/>
        <w:spacing w:after="0" w:line="247"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Ability to target large gene integrations into the genome using our RIGS and CAST systems – </w:t>
      </w:r>
      <w:r>
        <w:rPr>
          <w:rFonts w:ascii="Arial" w:cs="Arial" w:eastAsia="Arial" w:hAnsi="Arial"/>
          <w:sz w:val="18"/>
          <w:szCs w:val="18"/>
          <w:color w:val="auto"/>
        </w:rPr>
        <w:t>Our novel RIGS and CAST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allow for programmable, large gene insertions, an outcome which has been a major challenge for the genome editing field. RIGS are a proprietary genome editing system engineered from nickases and RTs, while CAST are systems that exist in nature but have required engineering to allow</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180"/>
        <w:spacing w:after="0" w:line="247" w:lineRule="auto"/>
        <w:rPr>
          <w:sz w:val="20"/>
          <w:szCs w:val="20"/>
          <w:color w:val="auto"/>
        </w:rPr>
      </w:pPr>
      <w:r>
        <w:rPr>
          <w:rFonts w:ascii="Arial" w:cs="Arial" w:eastAsia="Arial" w:hAnsi="Arial"/>
          <w:sz w:val="18"/>
          <w:szCs w:val="18"/>
          <w:color w:val="auto"/>
        </w:rPr>
        <w:t>for mammalian genome editing. We believe we are the first to demonstrate targeted genomic integration in human cells using compact CAST systems. While CAST have the theoretical capability to integrate very large DNA templates into the genome, RIGS are also being developed in order to achieve targeted, large genomic integrations when all components need to be delivered as RNA, for example when using standard LNP delivery technology.</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Specific Components of Our Toolbox</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u w:val="single" w:color="auto"/>
          <w:color w:val="auto"/>
        </w:rPr>
        <w:t>Programmable Nucleases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Overview</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5</w:t>
      </w:r>
      <w:r>
        <w:rPr>
          <w:rFonts w:ascii="Arial" w:cs="Arial" w:eastAsia="Arial" w:hAnsi="Arial"/>
          <w:sz w:val="18"/>
          <w:szCs w:val="18"/>
          <w:color w:val="auto"/>
        </w:rPr>
        <w:t>. Schematic Showing Programmable Nucleases and Their Use for Genome Editing.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103505</wp:posOffset>
            </wp:positionV>
            <wp:extent cx="5186045" cy="8318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8604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We are building a toolbox that includes programmable nucleases that are selected to target any site in the human genome with high precision. Most therapeutic genome editing applications to date use CRISPR/SpCas9 as the programmable nuclease. However, this system has several limitations that prevent its broad use across the thousands of genetic diseases that impact patients. Most importantly, SpCas9 is limited by where it can be targeted in the human genome and in some cases has a lack of specificity that leads to frequent off-target editing. In addition, the size of the SpCas9 enzyme complicates options for delivery using industry-standard methods. We have explored diverse programmable nucleases found in nature in order to identify novel systems that overcome all of these limitations (Figure 5).</w:t>
      </w:r>
    </w:p>
    <w:p>
      <w:pPr>
        <w:spacing w:after="0" w:line="117"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 xml:space="preserve">The discovery of new CRISPR enzymes with unique functionality and structure may offer the potential to further disrupt genome editing technologies, improving speed, specificity, functionality, and ease of use. CRISPR systems are commonly organized into two classes, six types and expanding number of subtypes based on shared functional characteristics and evolutionary similarity. We focus our attention on CRISPR type II and type V systems, owing to the simplicity of these programmable nucleases. Type II and type V nucleases are RNA-guided enzymes that can be programmed to target specific sequences of DNA, and sometimes RNA. Unlike type II nucleases, type V nucleases are more likely to generate staggered versus blunt-end cuts in double stranded DNA. Nucleases from both of these systems are extensively used in biotechnology, despite limitations that prevent their more widespread use in therapeutic applications. Our type II and type V CRISPR systems are distinct from previously studied CRISPR enzymes (including protein sequence, size, and biochemistry), while maintaining the core functionality of being programmable nucleases. Our lead systems have undergone extensive study across multiple mammalian cell types and animal models, demonstrating their utility as genome editing tools in both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applications.</w:t>
      </w:r>
    </w:p>
    <w:p>
      <w:pPr>
        <w:spacing w:after="0" w:line="118"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Throughout our search for novel programmable nucleases, we have identified several new types of ultra-small nucleases that range in size from approximately 450 aa to 1,000 aa, compared with typical type II and type V nucleases which are typically between 1,000 aa and 1,500 aa in length (for comparison, the most studied SpCas9 enzyme is 1,368 aa). Our newly-discovered, ultra-small nucleases include new types that we collectively refer to as SMART, as well as those that come from novel type V sub-groups. Given their small size, these new systems have the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80"/>
          </w:cols>
          <w:pgMar w:left="320" w:top="455" w:right="4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potential to be delivered to additional therapeutic target sites that expand beyond what is possible with first-generation systems. In adapting these novel systems into potential precision genetic medicines, our programmable nucleases are designed to have the capability to target essentially any therapeutically relevant genomic site with a high level of specificity (i.e. with limited off-target editing), while expanding compatibility with available delivery technologies.</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2"/>
          <w:szCs w:val="22"/>
          <w:b w:val="1"/>
          <w:bCs w:val="1"/>
          <w:u w:val="single" w:color="auto"/>
          <w:color w:val="auto"/>
        </w:rPr>
        <w:t>Our Approach</w:t>
      </w:r>
    </w:p>
    <w:p>
      <w:pPr>
        <w:spacing w:after="0" w:line="135"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 xml:space="preserve">To date, we have identified thousands of novel CRISPR type II, type V and SMART nucleases, including ultra-small systems, expanding the collection of known programmable nucleases by mining our proprietary metagenomics database. Using high-throughput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we have validated the activity of hundreds of novel nucleases. This has led to the identification of highly-active natural nucleases while also enabling us to catalog the unique targeting capabilities of each system. We select for natural, un-engineered systems with high activity and specificity. Our best-characterized nucleases have demonstrated activity levels meeting and often greatly exceeding SpCas9 while exhibiting low levels of off-target editing in mammalian cells. Given the measured targeting density of our toolbox, we believe that essentially any codon in the human genome could be addressed with our gene editing systems. The targeting density (frequency of targetable sites in the human genome) of the toolbox greatly increases the likelihood of identifying a highly active and specific nuclease and gRNA combination for any therapeutically relevant genomic target. We can use these programmable nucleases for genome editing, and also as a chassis for developing base editors and RIGS. The diverse biochemistry of these novel systems, including their size and DNA cutting profiles, makes it possible to link editing systems to the particular genomic target, edit type, and delivery technology we believe are required to develop genetic medicines. Additional discovery and characterization of programmable nucleases will further expand the targeting density of our toolbox, improving the overall activity and specificity of lead systems identified for therapeutic development.</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best-characterized type II and type V nucleases are suitable for a wide variety of genome editing applications</w:t>
      </w:r>
    </w:p>
    <w:p>
      <w:pPr>
        <w:spacing w:after="0" w:line="142"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Nucleases with the activity and specificity required for potential therapeutic genome editing applications are identified through a series of high-throughput screening and characterization steps. Novel protein and gRNAs are first predicted bioinformatically and then validated in both cell-free and mammalian cell screens. These steps validate the activity of a system and provide an accurate measure of targeting and specificity profiles. This approach has been applied to both type II and type V CRISPR nucleases in order to establish an expanding collection of well-characterized systems. In addition to discovery of novel nucleases with distinct targeting capabilities, a modular protein engineering approach is also used in order to create chimeric systems. The chimera approach leverages the high activity of top-performing systems but changes where they can edit by incorporating distinct targeting domains from related systems. Through continuous discovery and refinement, this collection of systems will expand, with the potential to target essentially every site in the human genome, while also creating a chassis to support the accelerated development of base editing, prime editing, and targeted integration systems.</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80"/>
          </w:cols>
          <w:pgMar w:left="320" w:top="455" w:right="4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line="269" w:lineRule="auto"/>
        <w:rPr>
          <w:sz w:val="20"/>
          <w:szCs w:val="20"/>
          <w:color w:val="auto"/>
        </w:rPr>
      </w:pPr>
      <w:r>
        <w:rPr>
          <w:rFonts w:ascii="Arial" w:cs="Arial" w:eastAsia="Arial" w:hAnsi="Arial"/>
          <w:sz w:val="18"/>
          <w:szCs w:val="18"/>
          <w:i w:val="1"/>
          <w:iCs w:val="1"/>
          <w:color w:val="auto"/>
        </w:rPr>
        <w:t>Given the measured targeting density of our toolbox, we believe that essentially any codon in the human genome could be addressed with our gene editing systems.</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6</w:t>
      </w:r>
      <w:r>
        <w:rPr>
          <w:rFonts w:ascii="Arial" w:cs="Arial" w:eastAsia="Arial" w:hAnsi="Arial"/>
          <w:sz w:val="18"/>
          <w:szCs w:val="18"/>
          <w:color w:val="auto"/>
        </w:rPr>
        <w:t>. Our Expanding Nuclease Toolbox is Designed to Enable Extensive Targeting throughout the Human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12"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color w:val="auto"/>
        </w:rPr>
        <w:t>Figure 6a</w:t>
      </w:r>
      <w:r>
        <w:rPr>
          <w:rFonts w:ascii="Arial" w:cs="Arial" w:eastAsia="Arial" w:hAnsi="Arial"/>
          <w:sz w:val="18"/>
          <w:szCs w:val="18"/>
          <w:color w:val="auto"/>
        </w:rPr>
        <w:t>. Our nucleases have shown high editing efficiency in</w:t>
      </w:r>
      <w:r>
        <w:rPr>
          <w:rFonts w:ascii="Arial" w:cs="Arial" w:eastAsia="Arial" w:hAnsi="Arial"/>
          <w:sz w:val="18"/>
          <w:szCs w:val="18"/>
          <w:b w:val="1"/>
          <w:bCs w:val="1"/>
          <w:color w:val="auto"/>
        </w:rPr>
        <w:t xml:space="preserve"> </w:t>
      </w:r>
      <w:r>
        <w:rPr>
          <w:rFonts w:ascii="Arial" w:cs="Arial" w:eastAsia="Arial" w:hAnsi="Arial"/>
          <w:sz w:val="18"/>
          <w:szCs w:val="18"/>
          <w:color w:val="auto"/>
        </w:rPr>
        <w:t>mammalian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1061085</wp:posOffset>
            </wp:positionV>
            <wp:extent cx="2400300" cy="1045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00300" cy="1045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Figure 6b</w:t>
      </w:r>
      <w:r>
        <w:rPr>
          <w:rFonts w:ascii="Arial" w:cs="Arial" w:eastAsia="Arial" w:hAnsi="Arial"/>
          <w:sz w:val="18"/>
          <w:szCs w:val="18"/>
          <w:color w:val="auto"/>
        </w:rPr>
        <w:t>. Given the measured targeting density of our toolbox,</w:t>
      </w:r>
      <w:r>
        <w:rPr>
          <w:rFonts w:ascii="Arial" w:cs="Arial" w:eastAsia="Arial" w:hAnsi="Arial"/>
          <w:sz w:val="18"/>
          <w:szCs w:val="18"/>
          <w:b w:val="1"/>
          <w:bCs w:val="1"/>
          <w:color w:val="auto"/>
        </w:rPr>
        <w:t xml:space="preserve"> </w:t>
      </w:r>
      <w:r>
        <w:rPr>
          <w:rFonts w:ascii="Arial" w:cs="Arial" w:eastAsia="Arial" w:hAnsi="Arial"/>
          <w:sz w:val="18"/>
          <w:szCs w:val="18"/>
          <w:color w:val="auto"/>
        </w:rPr>
        <w:t>we believe that essentially any codon in the human genome could be addressed with our gene editing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93345</wp:posOffset>
            </wp:positionV>
            <wp:extent cx="2468880" cy="17399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468880" cy="1739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240"/>
          </w:cols>
          <w:pgMar w:left="320" w:top="455"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0" w:hanging="269"/>
        <w:spacing w:after="0" w:line="281" w:lineRule="auto"/>
        <w:rPr>
          <w:sz w:val="20"/>
          <w:szCs w:val="20"/>
          <w:color w:val="auto"/>
        </w:rPr>
      </w:pPr>
      <w:r>
        <w:rPr>
          <w:rFonts w:ascii="Arial" w:cs="Arial" w:eastAsia="Arial" w:hAnsi="Arial"/>
          <w:sz w:val="13"/>
          <w:szCs w:val="13"/>
          <w:color w:val="auto"/>
        </w:rPr>
        <w:t>*    Editing efficiency was determined based on the frequency of InDels detected by next generation sequencing (“NGS”) at genomic sites targeted by each nuclease.</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Graph depicts editing efficiency for the top ten guides for each of six nucleases.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     Graph depicts cumulative targetability.</w:t>
      </w:r>
    </w:p>
    <w:p>
      <w:pPr>
        <w:spacing w:after="0" w:line="161" w:lineRule="exact"/>
        <w:rPr>
          <w:sz w:val="20"/>
          <w:szCs w:val="20"/>
          <w:color w:val="auto"/>
        </w:rPr>
      </w:pPr>
    </w:p>
    <w:p>
      <w:pPr>
        <w:ind w:left="260" w:right="220" w:hanging="269"/>
        <w:spacing w:after="0" w:line="281" w:lineRule="auto"/>
        <w:rPr>
          <w:sz w:val="20"/>
          <w:szCs w:val="20"/>
          <w:color w:val="auto"/>
        </w:rPr>
      </w:pPr>
      <w:r>
        <w:rPr>
          <w:rFonts w:ascii="Arial" w:cs="Arial" w:eastAsia="Arial" w:hAnsi="Arial"/>
          <w:sz w:val="13"/>
          <w:szCs w:val="13"/>
          <w:color w:val="auto"/>
        </w:rPr>
        <w:t>*    Targeting density (targetability) is the average distance between nuclease target sites in the human genome.</w:t>
      </w:r>
    </w:p>
    <w:p>
      <w:pPr>
        <w:spacing w:after="0" w:line="345" w:lineRule="exact"/>
        <w:rPr>
          <w:sz w:val="20"/>
          <w:szCs w:val="20"/>
          <w:color w:val="auto"/>
        </w:rPr>
      </w:pPr>
    </w:p>
    <w:p>
      <w:pPr>
        <w:sectPr>
          <w:pgSz w:w="11900" w:h="16838" w:orient="portrait"/>
          <w:cols w:equalWidth="0" w:num="2">
            <w:col w:w="5420" w:space="440"/>
            <w:col w:w="5240"/>
          </w:cols>
          <w:pgMar w:left="320" w:top="455" w:right="479" w:bottom="1440" w:gutter="0" w:footer="0" w:header="0"/>
          <w:type w:val="continuous"/>
        </w:sectPr>
      </w:pPr>
    </w:p>
    <w:p>
      <w:pPr>
        <w:ind w:left="120" w:right="100"/>
        <w:spacing w:after="0" w:line="242" w:lineRule="auto"/>
        <w:rPr>
          <w:sz w:val="20"/>
          <w:szCs w:val="20"/>
          <w:color w:val="auto"/>
        </w:rPr>
      </w:pPr>
      <w:r>
        <w:rPr>
          <w:rFonts w:ascii="Arial" w:cs="Arial" w:eastAsia="Arial" w:hAnsi="Arial"/>
          <w:sz w:val="18"/>
          <w:szCs w:val="18"/>
          <w:color w:val="auto"/>
        </w:rPr>
        <w:t>Our nucleases are capable of highly efficient genome editing in mammalian cells. Systems are tested across a collection of gRNAs designed based on the unique requirements and targeting preferences determined for each system. If a nuclease is routinely capable of editing at near-saturating levels, sometimes up to 99% editing efficiency, the system will go through further characterization and therapeutic development. Figure 6a shows the high editing efficiency of six systems observed in mammalian cells, indicating that they have the potential for broad use in therapeutic development given an ability to rapidly identify high performing guides that require minimal optimization.</w:t>
      </w:r>
    </w:p>
    <w:p>
      <w:pPr>
        <w:spacing w:after="0" w:line="111"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Given that each nuclease has distinct genomic targeting capabilities, we are able to determine which sites in the human genome can be addressed by each system. Figure 6b shows how the targeting density of our toolbox increases with each new system. Given the measured targeting density of our toolbox, we believe that essentially any codon in the human genome could be addressed with our gene editing systems. This collection of systems includes both natural enzymes as well as chimeric forms that have been engineered to alter the targetability of the nuclease. For reference, SpCas9 is able to target roughly every ten base pairs in the human genome. The targeting density of the toolbox increases the likelihood of identifying a highly-potent guide for any desired genome edit.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00"/>
          </w:cols>
          <w:pgMar w:left="320" w:top="455" w:right="47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nuclease toolbox is on track to target anywhere in the human genome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7</w:t>
      </w:r>
      <w:r>
        <w:rPr>
          <w:rFonts w:ascii="Arial" w:cs="Arial" w:eastAsia="Arial" w:hAnsi="Arial"/>
          <w:sz w:val="18"/>
          <w:szCs w:val="18"/>
          <w:color w:val="auto"/>
        </w:rPr>
        <w:t>. Our Nucleases are Compact with Diverse Targeting Sequence Motifs, Selected to Enable Broad Genome Editing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8890</wp:posOffset>
            </wp:positionV>
            <wp:extent cx="5212080" cy="20142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12080"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0" w:right="260" w:hanging="324"/>
        <w:spacing w:after="0" w:line="281" w:lineRule="auto"/>
        <w:tabs>
          <w:tab w:leader="none" w:pos="4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Graph depicts a selection of our nucleases, including their size in aa on the horizontal axis and their corresponding targeting motifs shown as sequence logos (PAM and TAM sequences), compared to SpCas9.</w:t>
      </w:r>
    </w:p>
    <w:p>
      <w:pPr>
        <w:spacing w:after="0" w:line="89"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Multiple parameters are considered when screening and promoting nucleases for further development, including the size of the system, activity across various assays and cell types, and targeting. For CRISPR systems, nuclease targeting is limited by a PAM sequence, or protospacer adjacent motif. The PAM is a short DNA sequence motif that must be present next to a target sequence in order for the nuclease to cut at the target site. Other systems have similar requirements that go by different names. For example, some SMART nucleases recognize functionally orthologous sequences called target-adjacent motifs (“TAMs”). Figure 7 shows the diversity of protein sizes and targeting motifs recognized by our nucleases. The vast diversity of the protein size and targeting motif requirements of our nucleases continues to fuel toolbox development and will enable the identification of additional systems that could make it possible to target nearly every base pair in the human genome.</w:t>
      </w:r>
    </w:p>
    <w:p>
      <w:pPr>
        <w:spacing w:after="0" w:line="3" w:lineRule="exact"/>
        <w:rPr>
          <w:sz w:val="20"/>
          <w:szCs w:val="20"/>
          <w:color w:val="auto"/>
        </w:rPr>
      </w:pPr>
    </w:p>
    <w:p>
      <w:pPr>
        <w:ind w:left="120" w:right="860"/>
        <w:spacing w:after="0" w:line="250" w:lineRule="auto"/>
        <w:rPr>
          <w:sz w:val="20"/>
          <w:szCs w:val="20"/>
          <w:color w:val="auto"/>
        </w:rPr>
      </w:pPr>
      <w:r>
        <w:rPr>
          <w:rFonts w:ascii="Arial" w:cs="Arial" w:eastAsia="Arial" w:hAnsi="Arial"/>
          <w:sz w:val="18"/>
          <w:szCs w:val="18"/>
          <w:i w:val="1"/>
          <w:iCs w:val="1"/>
          <w:color w:val="auto"/>
        </w:rPr>
        <w:t>Our nucleases are highly active across many human cell types which may indicate broad potential utility for human therapeutic applications</w:t>
      </w:r>
    </w:p>
    <w:p>
      <w:pPr>
        <w:spacing w:after="0" w:line="91"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Beyond initial nuclease benchmarking conducted in immortalized mammalian cell lines, we have conducted extensive surveys to show that these systems can be used in a variety of primary cells important for preclinical studies (i.e., T cells, natural killer (“NK”) cells, B cells, hematopoietic stem cells (“HSCs”) and induced pluripotent stem cells (“iPSCs”)), as illustrated by Figure 8 below. The versatility of these exemplary systems indicates their potential use in broad therapeutic applications. These benchmarks against SpCas9 also indicate that our systems may have potency advantages in which fewer genome editing reagents will need to be delivered in order to achieve high levels of genome editing.</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20"/>
          </w:cols>
          <w:pgMar w:left="320" w:top="455" w:right="5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8</w:t>
      </w:r>
      <w:r>
        <w:rPr>
          <w:rFonts w:ascii="Arial" w:cs="Arial" w:eastAsia="Arial" w:hAnsi="Arial"/>
          <w:sz w:val="18"/>
          <w:szCs w:val="18"/>
          <w:color w:val="auto"/>
        </w:rPr>
        <w:t>. Our Nucleases Show High Editing Efficiency in Human T Cells, NK Cells, B Cells, HSCs, and iPSCs.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103505</wp:posOffset>
            </wp:positionV>
            <wp:extent cx="5203190" cy="31032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20319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40" w:hanging="324"/>
        <w:spacing w:after="0"/>
        <w:tabs>
          <w:tab w:leader="none" w:pos="4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Two example nucleases are shown, type II MG3-6 and type V MG29-1.</w:t>
      </w:r>
    </w:p>
    <w:p>
      <w:pPr>
        <w:spacing w:after="0" w:line="161" w:lineRule="exact"/>
        <w:rPr>
          <w:rFonts w:ascii="Arial" w:cs="Arial" w:eastAsia="Arial" w:hAnsi="Arial"/>
          <w:sz w:val="13"/>
          <w:szCs w:val="13"/>
          <w:color w:val="auto"/>
        </w:rPr>
      </w:pPr>
    </w:p>
    <w:p>
      <w:pPr>
        <w:ind w:left="440" w:hanging="324"/>
        <w:spacing w:after="0"/>
        <w:tabs>
          <w:tab w:leader="none" w:pos="4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Editing efficiency was determined based on the frequency of InDels detected by NGS at genomic sites targeted by each nuclease.</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nucleases exhibit high specificity when benchmarked in multiple mammalian cell types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Our therapeutic development of genome editing systems require that they exhibit high activity and specificity across multiple cell-based models. We employ a broad set of specificity and off-target assessment methodologies, including </w:t>
      </w:r>
      <w:r>
        <w:rPr>
          <w:rFonts w:ascii="Arial" w:cs="Arial" w:eastAsia="Arial" w:hAnsi="Arial"/>
          <w:sz w:val="18"/>
          <w:szCs w:val="18"/>
          <w:i w:val="1"/>
          <w:iCs w:val="1"/>
          <w:color w:val="auto"/>
        </w:rPr>
        <w:t>in silico</w:t>
      </w:r>
      <w:r>
        <w:rPr>
          <w:rFonts w:ascii="Arial" w:cs="Arial" w:eastAsia="Arial" w:hAnsi="Arial"/>
          <w:sz w:val="18"/>
          <w:szCs w:val="18"/>
          <w:color w:val="auto"/>
        </w:rPr>
        <w:t>, biochemical, and cell-based approaches. Figure 9 shows peer-reviewed and published off-target assessments conducted using an unbiased, industry standard, cell-based, oligonucleotide capture method. In Figure 9a we show that two of our nucleases are more specific than SpCas9 when compared across multiple guides, and in Figure 9b we show that we can identify guides with no to minimal detectable off-targets with two lead nucleases tested in both immortalized and primary human cells. This trend has continued, and we are able to identify guides that have minimal or no detectable off-target activity for therapeutic targets. It is expected that the higher specificity of these systems will translate into better safety profiles across various therapeutic genome editing applications.</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900"/>
          </w:cols>
          <w:pgMar w:left="320" w:top="455" w:right="6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9</w:t>
      </w:r>
      <w:r>
        <w:rPr>
          <w:rFonts w:ascii="Arial" w:cs="Arial" w:eastAsia="Arial" w:hAnsi="Arial"/>
          <w:sz w:val="18"/>
          <w:szCs w:val="18"/>
          <w:color w:val="auto"/>
        </w:rPr>
        <w:t>. Our Nucleases are Highly Specific.</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9a</w:t>
      </w:r>
      <w:r>
        <w:rPr>
          <w:rFonts w:ascii="Arial" w:cs="Arial" w:eastAsia="Arial" w:hAnsi="Arial"/>
          <w:sz w:val="18"/>
          <w:szCs w:val="18"/>
          <w:color w:val="auto"/>
        </w:rPr>
        <w:t>. Our nucleases are highly specific in multiple mammalian cell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103505</wp:posOffset>
            </wp:positionV>
            <wp:extent cx="5134610" cy="16459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3461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right="760"/>
        <w:spacing w:after="0" w:line="271" w:lineRule="auto"/>
        <w:rPr>
          <w:sz w:val="20"/>
          <w:szCs w:val="20"/>
          <w:color w:val="auto"/>
        </w:rPr>
      </w:pPr>
      <w:r>
        <w:rPr>
          <w:rFonts w:ascii="Arial" w:cs="Arial" w:eastAsia="Arial" w:hAnsi="Arial"/>
          <w:sz w:val="18"/>
          <w:szCs w:val="18"/>
          <w:b w:val="1"/>
          <w:bCs w:val="1"/>
          <w:color w:val="auto"/>
        </w:rPr>
        <w:t>Figure 9b</w:t>
      </w:r>
      <w:r>
        <w:rPr>
          <w:rFonts w:ascii="Arial" w:cs="Arial" w:eastAsia="Arial" w:hAnsi="Arial"/>
          <w:sz w:val="18"/>
          <w:szCs w:val="18"/>
          <w:color w:val="auto"/>
        </w:rPr>
        <w:t>. Our best-characterized nucleases have guides that showed no to minimal detectable off-target edits when assayed in</w:t>
      </w:r>
      <w:r>
        <w:rPr>
          <w:rFonts w:ascii="Arial" w:cs="Arial" w:eastAsia="Arial" w:hAnsi="Arial"/>
          <w:sz w:val="18"/>
          <w:szCs w:val="18"/>
          <w:b w:val="1"/>
          <w:bCs w:val="1"/>
          <w:color w:val="auto"/>
        </w:rPr>
        <w:t xml:space="preserve"> </w:t>
      </w:r>
      <w:r>
        <w:rPr>
          <w:rFonts w:ascii="Arial" w:cs="Arial" w:eastAsia="Arial" w:hAnsi="Arial"/>
          <w:sz w:val="18"/>
          <w:szCs w:val="18"/>
          <w:color w:val="auto"/>
        </w:rPr>
        <w:t>immortalized and primary human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186690</wp:posOffset>
            </wp:positionV>
            <wp:extent cx="2580005" cy="23831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80005"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0" w:hanging="324"/>
        <w:spacing w:after="0" w:line="252" w:lineRule="auto"/>
        <w:tabs>
          <w:tab w:leader="none" w:pos="4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Figure 9a: Off-target analysis showed that our type II MG3-6 and MG3-8 nucleases have high specificity in multiple mammalian cell types as measured by the number of off-target sites and the fraction of on-target reads. The target sites are the same between the three nucleases, including SpCas9. Off-target experiments were conducted at N = 2, and reads for both replicates were summed for analysis. Double strand break (“DSB”) discovery via capture of a double-stranded oligonucleotide in primary T cells using the same MG3-6 and MG29-1 guides from (A; averaged across three biological replicates). Source: Alexander et al 2023 CRISPR Journal</w:t>
      </w:r>
    </w:p>
    <w:p>
      <w:pPr>
        <w:spacing w:after="0" w:line="47" w:lineRule="exact"/>
        <w:rPr>
          <w:rFonts w:ascii="Arial" w:cs="Arial" w:eastAsia="Arial" w:hAnsi="Arial"/>
          <w:sz w:val="13"/>
          <w:szCs w:val="13"/>
          <w:color w:val="auto"/>
        </w:rPr>
      </w:pPr>
    </w:p>
    <w:p>
      <w:pPr>
        <w:ind w:left="440" w:hanging="324"/>
        <w:spacing w:after="0"/>
        <w:tabs>
          <w:tab w:leader="none" w:pos="4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Figure 9b: DSB discovery via capture of a double-stranded oligonucleotide in HEK293T cells with SpCas9 (on target read in gray), guides MG3-6 TRAC B2, TRAC D2, TRAC 6,</w:t>
      </w:r>
    </w:p>
    <w:p>
      <w:pPr>
        <w:spacing w:after="0" w:line="11" w:lineRule="exact"/>
        <w:rPr>
          <w:rFonts w:ascii="Arial" w:cs="Arial" w:eastAsia="Arial" w:hAnsi="Arial"/>
          <w:sz w:val="13"/>
          <w:szCs w:val="13"/>
          <w:color w:val="auto"/>
        </w:rPr>
      </w:pPr>
    </w:p>
    <w:p>
      <w:pPr>
        <w:ind w:left="440" w:right="280"/>
        <w:spacing w:after="0" w:line="261" w:lineRule="auto"/>
        <w:rPr>
          <w:rFonts w:ascii="Arial" w:cs="Arial" w:eastAsia="Arial" w:hAnsi="Arial"/>
          <w:sz w:val="13"/>
          <w:szCs w:val="13"/>
          <w:color w:val="auto"/>
        </w:rPr>
      </w:pPr>
      <w:r>
        <w:rPr>
          <w:rFonts w:ascii="Arial" w:cs="Arial" w:eastAsia="Arial" w:hAnsi="Arial"/>
          <w:sz w:val="13"/>
          <w:szCs w:val="13"/>
          <w:color w:val="auto"/>
        </w:rPr>
        <w:t>and GR 3 (on target in blue), and MG29-1 guides TRAC 9, TRAC 19, TRAC 35, and GR 13 (on target in yellow) across three biological replicates. Source: Lamothe et al 2023 CRISPR Journal</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Our nucleases enable highly efficient and specific </w:t>
      </w:r>
      <w:r>
        <w:rPr>
          <w:rFonts w:ascii="Arial" w:cs="Arial" w:eastAsia="Arial" w:hAnsi="Arial"/>
          <w:sz w:val="18"/>
          <w:szCs w:val="18"/>
          <w:color w:val="auto"/>
        </w:rPr>
        <w:t>in vivo</w:t>
      </w:r>
      <w:r>
        <w:rPr>
          <w:rFonts w:ascii="Arial" w:cs="Arial" w:eastAsia="Arial" w:hAnsi="Arial"/>
          <w:sz w:val="18"/>
          <w:szCs w:val="18"/>
          <w:i w:val="1"/>
          <w:iCs w:val="1"/>
          <w:color w:val="auto"/>
        </w:rPr>
        <w:t xml:space="preserve"> genome editing in preclinical evaluations</w:t>
      </w:r>
    </w:p>
    <w:p>
      <w:pPr>
        <w:spacing w:after="0" w:line="144"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 xml:space="preserve">Type II MG3-6/8 is our chimeric nuclease that has been extensively characterized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This system is engineered from the MG3-6 chassis, which was discovered from the genome of a commensal, non-pathogenic representative of the human microbiome that showed high editing efficiencies when tested</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00"/>
          </w:cols>
          <w:pgMar w:left="320" w:top="455" w:right="4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 xml:space="preserve">across multiple mammalian cell types (see Figures 6, 8 and 9 above). The engineering involved changing the PAM interacting domain of the chassis, which enables the enzyme to be targeted to new sites in the human genome. Figure 10 shows that this system is suitable for </w:t>
      </w:r>
      <w:r>
        <w:rPr>
          <w:rFonts w:ascii="Arial" w:cs="Arial" w:eastAsia="Arial" w:hAnsi="Arial"/>
          <w:sz w:val="18"/>
          <w:szCs w:val="18"/>
          <w:i w:val="1"/>
          <w:iCs w:val="1"/>
          <w:color w:val="auto"/>
        </w:rPr>
        <w:t xml:space="preserve">in vivo </w:t>
      </w:r>
      <w:r>
        <w:rPr>
          <w:rFonts w:ascii="Arial" w:cs="Arial" w:eastAsia="Arial" w:hAnsi="Arial"/>
          <w:sz w:val="18"/>
          <w:szCs w:val="18"/>
          <w:color w:val="auto"/>
        </w:rPr>
        <w:t>applications, based on saturating levels of editing achieved in a mouse study with a single administration of nuclease mRNA and</w:t>
      </w:r>
      <w:r>
        <w:rPr>
          <w:rFonts w:ascii="Arial" w:cs="Arial" w:eastAsia="Arial" w:hAnsi="Arial"/>
          <w:sz w:val="18"/>
          <w:szCs w:val="18"/>
          <w:i w:val="1"/>
          <w:iCs w:val="1"/>
          <w:color w:val="auto"/>
        </w:rPr>
        <w:t xml:space="preserve"> </w:t>
      </w:r>
      <w:r>
        <w:rPr>
          <w:rFonts w:ascii="Arial" w:cs="Arial" w:eastAsia="Arial" w:hAnsi="Arial"/>
          <w:sz w:val="18"/>
          <w:szCs w:val="18"/>
          <w:color w:val="auto"/>
        </w:rPr>
        <w:t>guide encapsulated in a LNP with tropism to the liver.</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10</w:t>
      </w:r>
      <w:r>
        <w:rPr>
          <w:rFonts w:ascii="Arial" w:cs="Arial" w:eastAsia="Arial" w:hAnsi="Arial"/>
          <w:sz w:val="18"/>
          <w:szCs w:val="18"/>
          <w:color w:val="auto"/>
        </w:rPr>
        <w:t>. In Vivo Editing in Mice with MG3-6/8 Nuclease.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43180</wp:posOffset>
            </wp:positionV>
            <wp:extent cx="1577340" cy="17830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7734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right="6640"/>
        <w:spacing w:after="0" w:line="247" w:lineRule="auto"/>
        <w:rPr>
          <w:sz w:val="20"/>
          <w:szCs w:val="20"/>
          <w:color w:val="auto"/>
        </w:rPr>
      </w:pPr>
      <w:r>
        <w:rPr>
          <w:rFonts w:ascii="Arial" w:cs="Arial" w:eastAsia="Arial" w:hAnsi="Arial"/>
          <w:sz w:val="18"/>
          <w:szCs w:val="18"/>
          <w:color w:val="auto"/>
        </w:rPr>
        <w:t>Editing efficiency was determined based on the frequency of InDels detected by next generation sequencing (“NGS”) at genomic sites targeted by each nuclease.</w:t>
      </w:r>
    </w:p>
    <w:p>
      <w:pPr>
        <w:spacing w:after="0" w:line="113" w:lineRule="exact"/>
        <w:rPr>
          <w:sz w:val="20"/>
          <w:szCs w:val="20"/>
          <w:color w:val="auto"/>
        </w:rPr>
      </w:pPr>
    </w:p>
    <w:p>
      <w:pPr>
        <w:ind w:left="440" w:hanging="324"/>
        <w:spacing w:after="0"/>
        <w:tabs>
          <w:tab w:leader="none" w:pos="4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Delivery by mRNA and LNP, dosing at 1 mg/kg.</w:t>
      </w:r>
    </w:p>
    <w:p>
      <w:pPr>
        <w:spacing w:after="0" w:line="161" w:lineRule="exact"/>
        <w:rPr>
          <w:rFonts w:ascii="Arial" w:cs="Arial" w:eastAsia="Arial" w:hAnsi="Arial"/>
          <w:sz w:val="13"/>
          <w:szCs w:val="13"/>
          <w:color w:val="auto"/>
        </w:rPr>
      </w:pPr>
    </w:p>
    <w:p>
      <w:pPr>
        <w:ind w:left="440" w:hanging="324"/>
        <w:spacing w:after="0"/>
        <w:tabs>
          <w:tab w:leader="none" w:pos="4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Mean of 79% genome editing efficiency as measured by the frequency of InDels detected by NGS at the targeted genomic site.</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In addition, one of our most highly characterized type V nucleases, MG29-1, demonstrated high activity and specificity during multiple preclinical studies spanning from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to NHP. Originating from a bacterial genome found in a deep sea hydrothermal vent, MG29-1 has a smaller protein (1,280 aa) and gRNA (~70 nt) compared with MG3-6 (1,135 aa and ~110 nt) and SpCas9 (1,368 aa and ~100 nt). MG29-1 has demonstrated up to 97% editing in primary mouse hepatocytes in culture (Figure 11a), superior liver editing to an exemplary SpCas9 guide targeting an overlapping genomic site when delivered to mice using a LNP that delivers primarily to the hepatocytes in the liver (Figure 11b), and on average 50% editing in the whole liver of NHP when delivered in a LNP that delivers primarily to the hepatocytes in the liver (Figure 11c, guide 2). Because hepatocytes make up about 70% of the cells in the liver, the 50% editing in the whole liver achieved in NHP translates to editing of about 70% of the hepatocytes which are the therapeutically relevant target cell.</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5"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Figure 11</w:t>
      </w:r>
      <w:r>
        <w:rPr>
          <w:rFonts w:ascii="Arial" w:cs="Arial" w:eastAsia="Arial" w:hAnsi="Arial"/>
          <w:sz w:val="17"/>
          <w:szCs w:val="17"/>
          <w:color w:val="auto"/>
        </w:rPr>
        <w:t>. Our Type V MG29-1 Nuclease is a Highly Active Natural Enzyme for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 Vivo</w:t>
      </w:r>
      <w:r>
        <w:rPr>
          <w:rFonts w:ascii="Arial" w:cs="Arial" w:eastAsia="Arial" w:hAnsi="Arial"/>
          <w:sz w:val="17"/>
          <w:szCs w:val="17"/>
          <w:b w:val="1"/>
          <w:bCs w:val="1"/>
          <w:color w:val="auto"/>
        </w:rPr>
        <w:t xml:space="preserve"> </w:t>
      </w:r>
      <w:r>
        <w:rPr>
          <w:rFonts w:ascii="Arial" w:cs="Arial" w:eastAsia="Arial" w:hAnsi="Arial"/>
          <w:sz w:val="17"/>
          <w:szCs w:val="17"/>
          <w:color w:val="auto"/>
        </w:rPr>
        <w:t>Genome Editing.</w:t>
      </w:r>
    </w:p>
    <w:p>
      <w:pPr>
        <w:sectPr>
          <w:pgSz w:w="11900" w:h="16838" w:orient="portrait"/>
          <w:cols w:equalWidth="0" w:num="1">
            <w:col w:w="11040"/>
          </w:cols>
          <w:pgMar w:left="320" w:top="455" w:right="539" w:bottom="1440" w:gutter="0" w:footer="0" w:header="0"/>
        </w:sectPr>
      </w:pPr>
    </w:p>
    <w:p>
      <w:pPr>
        <w:spacing w:after="0" w:line="156"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color w:val="auto"/>
        </w:rPr>
        <w:t>Figure 11a</w:t>
      </w:r>
      <w:r>
        <w:rPr>
          <w:rFonts w:ascii="Arial" w:cs="Arial" w:eastAsia="Arial" w:hAnsi="Arial"/>
          <w:sz w:val="18"/>
          <w:szCs w:val="18"/>
          <w:color w:val="auto"/>
        </w:rPr>
        <w:t>. MG29-1 achieved saturating levels</w:t>
      </w:r>
      <w:r>
        <w:rPr>
          <w:rFonts w:ascii="Arial" w:cs="Arial" w:eastAsia="Arial" w:hAnsi="Arial"/>
          <w:sz w:val="18"/>
          <w:szCs w:val="18"/>
          <w:b w:val="1"/>
          <w:bCs w:val="1"/>
          <w:color w:val="auto"/>
        </w:rPr>
        <w:t xml:space="preserve"> </w:t>
      </w:r>
      <w:r>
        <w:rPr>
          <w:rFonts w:ascii="Arial" w:cs="Arial" w:eastAsia="Arial" w:hAnsi="Arial"/>
          <w:sz w:val="18"/>
          <w:szCs w:val="18"/>
          <w:color w:val="auto"/>
        </w:rPr>
        <w:t>of editing in primary mouse hepatocytes.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b w:val="1"/>
          <w:bCs w:val="1"/>
          <w:color w:val="auto"/>
        </w:rPr>
        <w:t>Figure 11b</w:t>
      </w:r>
      <w:r>
        <w:rPr>
          <w:rFonts w:ascii="Arial" w:cs="Arial" w:eastAsia="Arial" w:hAnsi="Arial"/>
          <w:sz w:val="18"/>
          <w:szCs w:val="18"/>
          <w:color w:val="auto"/>
        </w:rPr>
        <w:t>. MG29-1 has higher potency</w:t>
      </w:r>
      <w:r>
        <w:rPr>
          <w:sz w:val="20"/>
          <w:szCs w:val="20"/>
          <w:color w:val="auto"/>
        </w:rPr>
        <w:tab/>
      </w:r>
      <w:r>
        <w:rPr>
          <w:rFonts w:ascii="Arial" w:cs="Arial" w:eastAsia="Arial" w:hAnsi="Arial"/>
          <w:sz w:val="17"/>
          <w:szCs w:val="17"/>
          <w:b w:val="1"/>
          <w:bCs w:val="1"/>
          <w:color w:val="auto"/>
        </w:rPr>
        <w:t>Figure 11c</w:t>
      </w:r>
      <w:r>
        <w:rPr>
          <w:rFonts w:ascii="Arial" w:cs="Arial" w:eastAsia="Arial" w:hAnsi="Arial"/>
          <w:sz w:val="17"/>
          <w:szCs w:val="17"/>
          <w:color w:val="auto"/>
        </w:rPr>
        <w:t>. MG29-1 demonstrates</w:t>
      </w:r>
    </w:p>
    <w:p>
      <w:pPr>
        <w:spacing w:after="0" w:line="9"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than SpCas9 when editing mouse liver cell</w:t>
      </w:r>
      <w:r>
        <w:rPr>
          <w:sz w:val="20"/>
          <w:szCs w:val="20"/>
          <w:color w:val="auto"/>
        </w:rPr>
        <w:tab/>
      </w:r>
      <w:r>
        <w:rPr>
          <w:rFonts w:ascii="Arial" w:cs="Arial" w:eastAsia="Arial" w:hAnsi="Arial"/>
          <w:sz w:val="17"/>
          <w:szCs w:val="17"/>
          <w:color w:val="auto"/>
        </w:rPr>
        <w:t>successful editing in NHPs.</w:t>
      </w:r>
    </w:p>
    <w:p>
      <w:pPr>
        <w:spacing w:after="0"/>
        <w:rPr>
          <w:sz w:val="20"/>
          <w:szCs w:val="20"/>
          <w:color w:val="auto"/>
        </w:rPr>
      </w:pPr>
      <w:r>
        <w:rPr>
          <w:rFonts w:ascii="Arial" w:cs="Arial" w:eastAsia="Arial" w:hAnsi="Arial"/>
          <w:sz w:val="18"/>
          <w:szCs w:val="18"/>
          <w:color w:val="auto"/>
        </w:rPr>
        <w:t xml:space="preserve">genomes </w:t>
      </w:r>
      <w:r>
        <w:rPr>
          <w:rFonts w:ascii="Arial" w:cs="Arial" w:eastAsia="Arial" w:hAnsi="Arial"/>
          <w:sz w:val="18"/>
          <w:szCs w:val="18"/>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-2529205</wp:posOffset>
            </wp:positionH>
            <wp:positionV relativeFrom="paragraph">
              <wp:posOffset>134620</wp:posOffset>
            </wp:positionV>
            <wp:extent cx="6995160" cy="16198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619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80" w:space="220"/>
            <w:col w:w="6940"/>
          </w:cols>
          <w:pgMar w:left="320" w:top="455"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740"/>
        <w:spacing w:after="0"/>
        <w:rPr>
          <w:sz w:val="20"/>
          <w:szCs w:val="20"/>
          <w:color w:val="auto"/>
        </w:rPr>
      </w:pPr>
      <w:r>
        <w:rPr>
          <w:rFonts w:ascii="Arial" w:cs="Arial" w:eastAsia="Arial" w:hAnsi="Arial"/>
          <w:sz w:val="13"/>
          <w:szCs w:val="13"/>
          <w:color w:val="auto"/>
        </w:rPr>
        <w:t>*     50% whole liver editing = 70% hepatocytes editing.</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MG29-1 and SpCas9 were delivered by LNP with co-formulated mRNA and gRNA.</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gRNAs for both MG29-1 and SpCas9 have overlapping target sites.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mRNAs for both nucleases use the same overall design and were codon optimized with the same algorithm.</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The SpCas9 gRNA incorporated extensive optimizations published in the literature.</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InDels were analyzed by NGS four days after IV infusion.</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L, M, H, refer to low, medium and high doses.</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We use multiple unbiased, industry standard methods to identify putative off-target edits, which are then investigated using sensitive targeted sequencing. To date no detectable off target editing has been observed for the MG29-1 lead guide for one of our therapeutic programs at therapeutically relevant doses. Preliminary off-target assessment of MG29-1 lead guide for a second program has not identified detectable off-target sites to date which is consistent with MG29-1 being a highly efficient, specific and programmable nuclease suitable for broad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genome editing applications. Beyond MG29-1, the multitude of nucleases in our toolbox enables us to screen an extensive guide library for any genomic locus of interest. For exemplary lead guides that have been examined for off-target editing we observe minimal or no detectable off-target editing.</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ultra-small nucleases are efficient genome editors that unlock additional delivery modalities</w:t>
      </w:r>
    </w:p>
    <w:p>
      <w:pPr>
        <w:spacing w:after="0" w:line="12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 xml:space="preserve">Delivery of genome editing payloads is often restricted by the size limitations of the delivery vehicle. Therefore, we leverage our metagenomics database to find new nucleases that are significantly smaller than current systems. After searching through billions of predicted proteins from bioinformatically reconstructed microbial genomes, we uncovered several distinct types of ultra-small nucleases. Our lead ultra-small nucleases are significantly smaller than CRISPR SpCas9, enabling new and improved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delivery methods and new possibilities for building base editing systems and prime editors that can be packaged in size-constrained delivery vehicles. Typical CRISPR Cas9 systems are about 1,300 aa in length whereas some of these new systems are just over 450 aa. Compact systems create potential advantages for delivery, manufacturing, and dosing. Furthermore, they can be delivered to organs and tissues currently only accessible by AAV, given that the nucleases are well-within the packaging limitations of these delivery vectors. The smaller size of these nucleases compared to previous systems potentially unlock target indications beyond applications in the liver. Because of their novel biochemistry and divergence from typical type II, we refer to some of these ultra-small nucleases as SMART. In addition, we identified several novel families of ultra-small type V nucleases. Unlike compact type V, and all other previously studied type V, SMART have a dual catalytic domain structure that enables engineering of nickase variants that can be used for base and prime editing.</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40"/>
          </w:cols>
          <w:pgMar w:left="320" w:top="455" w:right="5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53" w:lineRule="auto"/>
        <w:rPr>
          <w:sz w:val="20"/>
          <w:szCs w:val="20"/>
          <w:color w:val="auto"/>
        </w:rPr>
      </w:pPr>
      <w:r>
        <w:rPr>
          <w:rFonts w:ascii="Arial" w:cs="Arial" w:eastAsia="Arial" w:hAnsi="Arial"/>
          <w:sz w:val="18"/>
          <w:szCs w:val="18"/>
          <w:color w:val="auto"/>
        </w:rPr>
        <w:t>Figure 12 shows that genome editing efficiencies achieved for SMART and compact type V nucleases are comparable to other lead systems. These results show that our ultra-small nucleases are highly efficient genome editing systems that have the potential for extensive therapeutic applications, including for those in which delivery is a limiting factor.</w:t>
      </w:r>
    </w:p>
    <w:p>
      <w:pPr>
        <w:spacing w:after="0" w:line="101"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b w:val="1"/>
          <w:bCs w:val="1"/>
          <w:color w:val="auto"/>
        </w:rPr>
        <w:t>Figure 12</w:t>
      </w:r>
      <w:r>
        <w:rPr>
          <w:rFonts w:ascii="Arial" w:cs="Arial" w:eastAsia="Arial" w:hAnsi="Arial"/>
          <w:sz w:val="18"/>
          <w:szCs w:val="18"/>
          <w:color w:val="auto"/>
        </w:rPr>
        <w:t>. Our Ultra-Small Nucleases are Designed to be Highly Efficient Genome Editing Systems that Are Well-Within the Packaging</w:t>
      </w:r>
      <w:r>
        <w:rPr>
          <w:rFonts w:ascii="Arial" w:cs="Arial" w:eastAsia="Arial" w:hAnsi="Arial"/>
          <w:sz w:val="18"/>
          <w:szCs w:val="18"/>
          <w:b w:val="1"/>
          <w:bCs w:val="1"/>
          <w:color w:val="auto"/>
        </w:rPr>
        <w:t xml:space="preserve"> </w:t>
      </w:r>
      <w:r>
        <w:rPr>
          <w:rFonts w:ascii="Arial" w:cs="Arial" w:eastAsia="Arial" w:hAnsi="Arial"/>
          <w:sz w:val="18"/>
          <w:szCs w:val="18"/>
          <w:color w:val="auto"/>
        </w:rPr>
        <w:t>Limits of AAV Vectors.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-284480</wp:posOffset>
            </wp:positionV>
            <wp:extent cx="6995160" cy="2571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5"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b w:val="1"/>
          <w:bCs w:val="1"/>
          <w:color w:val="auto"/>
        </w:rPr>
        <w:t>Figure 12a</w:t>
      </w:r>
      <w:r>
        <w:rPr>
          <w:rFonts w:ascii="Arial" w:cs="Arial" w:eastAsia="Arial" w:hAnsi="Arial"/>
          <w:sz w:val="17"/>
          <w:szCs w:val="17"/>
          <w:color w:val="auto"/>
        </w:rPr>
        <w:t>. Schematic representation of how</w:t>
      </w:r>
      <w:r>
        <w:rPr>
          <w:rFonts w:ascii="Arial" w:cs="Arial" w:eastAsia="Arial" w:hAnsi="Arial"/>
          <w:sz w:val="17"/>
          <w:szCs w:val="17"/>
          <w:b w:val="1"/>
          <w:bCs w:val="1"/>
          <w:color w:val="auto"/>
        </w:rPr>
        <w:t xml:space="preserve"> </w:t>
      </w:r>
      <w:r>
        <w:rPr>
          <w:rFonts w:ascii="Arial" w:cs="Arial" w:eastAsia="Arial" w:hAnsi="Arial"/>
          <w:sz w:val="17"/>
          <w:szCs w:val="17"/>
          <w:color w:val="auto"/>
        </w:rPr>
        <w:t>our ultra-small nucleases are a fraction of the size of a typical CRISPR SpCas9 nuclease.</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8"/>
          <w:szCs w:val="18"/>
          <w:b w:val="1"/>
          <w:bCs w:val="1"/>
          <w:color w:val="auto"/>
        </w:rPr>
        <w:t>Figure 12b</w:t>
      </w:r>
      <w:r>
        <w:rPr>
          <w:rFonts w:ascii="Arial" w:cs="Arial" w:eastAsia="Arial" w:hAnsi="Arial"/>
          <w:sz w:val="18"/>
          <w:szCs w:val="18"/>
          <w:color w:val="auto"/>
        </w:rPr>
        <w:t>. SMART nuclease showed high</w:t>
      </w:r>
      <w:r>
        <w:rPr>
          <w:rFonts w:ascii="Arial" w:cs="Arial" w:eastAsia="Arial" w:hAnsi="Arial"/>
          <w:sz w:val="18"/>
          <w:szCs w:val="18"/>
          <w:b w:val="1"/>
          <w:bCs w:val="1"/>
          <w:color w:val="auto"/>
        </w:rPr>
        <w:t xml:space="preserve"> </w:t>
      </w:r>
      <w:r>
        <w:rPr>
          <w:rFonts w:ascii="Arial" w:cs="Arial" w:eastAsia="Arial" w:hAnsi="Arial"/>
          <w:sz w:val="18"/>
          <w:szCs w:val="18"/>
          <w:color w:val="auto"/>
        </w:rPr>
        <w:t>editing efficiency in mammalian cells, prior to optimization.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-2529205</wp:posOffset>
            </wp:positionH>
            <wp:positionV relativeFrom="paragraph">
              <wp:posOffset>119380</wp:posOffset>
            </wp:positionV>
            <wp:extent cx="6995160" cy="16116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611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60"/>
        <w:spacing w:after="0" w:line="275" w:lineRule="auto"/>
        <w:rPr>
          <w:sz w:val="20"/>
          <w:szCs w:val="20"/>
          <w:color w:val="auto"/>
        </w:rPr>
      </w:pPr>
      <w:r>
        <w:rPr>
          <w:rFonts w:ascii="Arial" w:cs="Arial" w:eastAsia="Arial" w:hAnsi="Arial"/>
          <w:sz w:val="17"/>
          <w:szCs w:val="17"/>
          <w:b w:val="1"/>
          <w:bCs w:val="1"/>
          <w:color w:val="auto"/>
        </w:rPr>
        <w:t>Figure 12c</w:t>
      </w:r>
      <w:r>
        <w:rPr>
          <w:rFonts w:ascii="Arial" w:cs="Arial" w:eastAsia="Arial" w:hAnsi="Arial"/>
          <w:sz w:val="17"/>
          <w:szCs w:val="17"/>
          <w:color w:val="auto"/>
        </w:rPr>
        <w:t>. Compact type V nuclease</w:t>
      </w:r>
      <w:r>
        <w:rPr>
          <w:rFonts w:ascii="Arial" w:cs="Arial" w:eastAsia="Arial" w:hAnsi="Arial"/>
          <w:sz w:val="17"/>
          <w:szCs w:val="17"/>
          <w:b w:val="1"/>
          <w:bCs w:val="1"/>
          <w:color w:val="auto"/>
        </w:rPr>
        <w:t xml:space="preserve"> </w:t>
      </w:r>
      <w:r>
        <w:rPr>
          <w:rFonts w:ascii="Arial" w:cs="Arial" w:eastAsia="Arial" w:hAnsi="Arial"/>
          <w:sz w:val="17"/>
          <w:szCs w:val="17"/>
          <w:color w:val="auto"/>
        </w:rPr>
        <w:t>showed high editing efficiency in mammalian cells, prior to optimization.</w:t>
      </w:r>
    </w:p>
    <w:p>
      <w:pPr>
        <w:spacing w:after="0" w:line="200" w:lineRule="exact"/>
        <w:rPr>
          <w:sz w:val="20"/>
          <w:szCs w:val="20"/>
          <w:color w:val="auto"/>
        </w:rPr>
      </w:pPr>
    </w:p>
    <w:p>
      <w:pPr>
        <w:sectPr>
          <w:pgSz w:w="11900" w:h="16838" w:orient="portrait"/>
          <w:cols w:equalWidth="0" w:num="3">
            <w:col w:w="3740" w:space="360"/>
            <w:col w:w="3460" w:space="180"/>
            <w:col w:w="3300"/>
          </w:cols>
          <w:pgMar w:left="320" w:top="455"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100"/>
        <w:spacing w:after="0"/>
        <w:rPr>
          <w:sz w:val="20"/>
          <w:szCs w:val="20"/>
          <w:color w:val="auto"/>
        </w:rPr>
      </w:pPr>
      <w:r>
        <w:rPr>
          <w:rFonts w:ascii="Arial" w:cs="Arial" w:eastAsia="Arial" w:hAnsi="Arial"/>
          <w:sz w:val="13"/>
          <w:szCs w:val="13"/>
          <w:color w:val="auto"/>
        </w:rPr>
        <w:t>*     InDels are measured by NGS.</w:t>
      </w:r>
    </w:p>
    <w:p>
      <w:pPr>
        <w:spacing w:after="0" w:line="80" w:lineRule="exact"/>
        <w:rPr>
          <w:sz w:val="20"/>
          <w:szCs w:val="20"/>
          <w:color w:val="auto"/>
        </w:rPr>
      </w:pPr>
    </w:p>
    <w:p>
      <w:pPr>
        <w:ind w:left="4100"/>
        <w:spacing w:after="0"/>
        <w:rPr>
          <w:sz w:val="20"/>
          <w:szCs w:val="20"/>
          <w:color w:val="auto"/>
        </w:rPr>
      </w:pPr>
      <w:r>
        <w:rPr>
          <w:rFonts w:ascii="Arial" w:cs="Arial" w:eastAsia="Arial" w:hAnsi="Arial"/>
          <w:sz w:val="13"/>
          <w:szCs w:val="13"/>
          <w:color w:val="auto"/>
        </w:rPr>
        <w:t>*     Each bar represents a distinct guide.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     InDels are measured by NGS.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     Each bar represents a distinct guide.</w:t>
      </w:r>
    </w:p>
    <w:p>
      <w:pPr>
        <w:spacing w:after="0" w:line="200" w:lineRule="exact"/>
        <w:rPr>
          <w:sz w:val="20"/>
          <w:szCs w:val="20"/>
          <w:color w:val="auto"/>
        </w:rPr>
      </w:pPr>
    </w:p>
    <w:p>
      <w:pPr>
        <w:sectPr>
          <w:pgSz w:w="11900" w:h="16838" w:orient="portrait"/>
          <w:cols w:equalWidth="0" w:num="2">
            <w:col w:w="7020" w:space="720"/>
            <w:col w:w="3300"/>
          </w:cols>
          <w:pgMar w:left="320" w:top="455" w:right="539" w:bottom="1440" w:gutter="0" w:footer="0" w:header="0"/>
          <w:type w:val="continuous"/>
        </w:sectPr>
      </w:pPr>
    </w:p>
    <w:p>
      <w:pPr>
        <w:spacing w:after="0" w:line="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Editors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13</w:t>
      </w:r>
      <w:r>
        <w:rPr>
          <w:rFonts w:ascii="Arial" w:cs="Arial" w:eastAsia="Arial" w:hAnsi="Arial"/>
          <w:sz w:val="18"/>
          <w:szCs w:val="18"/>
          <w:color w:val="auto"/>
        </w:rPr>
        <w:t>. Schematic Showing the Two Primary Types of Base Editors under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103505</wp:posOffset>
            </wp:positionV>
            <wp:extent cx="5203190" cy="9772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0319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leverage our toolbox of programmable nucleases to develop a highly targetable and flexible base editing platform compatible with various delivery technologies. Base editing modifies individual bases in the genome without making double-stranded breaks in the DNA. This approach uses a chemical reaction designed to create precise, predictable, and efficient genetic outcomes at the targeted sequence. These precise changes to individual base pairs in the genome can be used to correct or change genomic sequence in order to address disease. Notably, the most common class of genetic mutations are errors of a single base, known as point mutations. These point mutations, many of which could be addressed with a base editor, represent approximately 58% of all the known genetic errors associated with disease. Furthermore, base editors can be used to precisely knock-down genes by introducing premature stop codons or interrupting gene splice sites.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40"/>
          </w:cols>
          <w:pgMar w:left="320" w:top="455" w:right="53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 xml:space="preserve">There are two types of base editors: ABEs and CBEs. ABEs convert adenine-thymine base pairs to guanine-cytosine base pairs. CBEs target cytosine-guanine and convert them to thymine-adenine. We are developing both ABEs and CBEs, which have been validated across multiple mammalian cell types and </w:t>
      </w:r>
      <w:r>
        <w:rPr>
          <w:rFonts w:ascii="Arial" w:cs="Arial" w:eastAsia="Arial" w:hAnsi="Arial"/>
          <w:sz w:val="17"/>
          <w:szCs w:val="17"/>
          <w:i w:val="1"/>
          <w:iCs w:val="1"/>
          <w:color w:val="auto"/>
        </w:rPr>
        <w:t>in vivo</w:t>
      </w:r>
      <w:r>
        <w:rPr>
          <w:rFonts w:ascii="Arial" w:cs="Arial" w:eastAsia="Arial" w:hAnsi="Arial"/>
          <w:sz w:val="17"/>
          <w:szCs w:val="17"/>
          <w:color w:val="auto"/>
        </w:rPr>
        <w:t>, to enable broad use of the base editing approach for addressing disease (Figure 13).</w:t>
      </w:r>
    </w:p>
    <w:p>
      <w:pPr>
        <w:spacing w:after="0" w:line="84"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Base editors are composed of a targeting enzyme, typically a programmable nuclease that has been engineered to localize to a specific site in the genome but not cause a dsDNA break, and a deaminase, which is responsible for the chemical conversion of targeted genomic bases. Base editors can be engineered using modified nickase programmable nucleases that have been engineered to nick rather than cut genomic targets (i.e. a nickase variant). The nickase recognizes and binds to specific DNA sequences, determined by a gRNA, enabling deaminases that are fused to the nickase to modify the targeted bases. Typically, the modified bases are found on the single-stranded DNA that is exposed at a target site when the gRNA is bound to one of the strands of DNA. The efficiency of cytosine base editors can be improved by the addition of another enzyme called a UGI. The UGI protects edited bases against DNA repair machinery that would otherwise remove them and revert the edited sequence back to its original form.</w:t>
      </w:r>
    </w:p>
    <w:p>
      <w:pPr>
        <w:spacing w:after="0" w:line="113"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Base editing results in one or more mismatched bases in the dsDNA, which are resolved by DNA repair mechanisms in the cell. Nickases are typically used such that the DNA strand opposite to the modified bases is nicked, thus biasing DNA repair pathways to favor the modified strand over the original sequence. The result is a precise change in one or more targeted bases without creating double-stranded breaks or requiring a donor template.</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Approach</w:t>
      </w:r>
    </w:p>
    <w:p>
      <w:pPr>
        <w:spacing w:after="0" w:line="142"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We are leveraging our toolbox of programmable nucleases and our metagenomics discovery platform to develop next generation base editing tools. Our programmable nucleases provide the ability to efficiently and precisely target locations in the genome required in order to potentially create a wide-variety of genetic medicines. In addition, the availability of ultra-small SMART effectors enables us to develop base editors that could be delivered to various target tissues and organs. While established base editing systems using SpCas9 require splitting the system into two AAV vectors for delivery, those developed from SMART are designed to be within the packaging limitations of a single AAV. We have discovered and engineered what we believe to be two of the smallest base editors developed to date, one SMART ABE that is 623 aa in length and another SMART ABE that is 969 aa. These systems provide substantial opportunities for vector optimization compared with SpCas9 ABEs that are 1,588 aa. Furthermore, the flexibility of the modular, chimeric nuclease platform, enables rapid optimization of base editors capable of editing at a multitude of target sites, since engineering and optimization applied to one base editor can rapidly be applied to other systems with the capability of targeting to new genomic sites.</w:t>
      </w:r>
    </w:p>
    <w:p>
      <w:pPr>
        <w:spacing w:after="0" w:line="99" w:lineRule="exact"/>
        <w:rPr>
          <w:sz w:val="20"/>
          <w:szCs w:val="20"/>
          <w:color w:val="auto"/>
        </w:rPr>
      </w:pPr>
    </w:p>
    <w:p>
      <w:pPr>
        <w:ind w:left="120" w:right="320"/>
        <w:spacing w:after="0" w:line="259" w:lineRule="auto"/>
        <w:rPr>
          <w:sz w:val="20"/>
          <w:szCs w:val="20"/>
          <w:color w:val="auto"/>
        </w:rPr>
      </w:pPr>
      <w:r>
        <w:rPr>
          <w:rFonts w:ascii="Arial" w:cs="Arial" w:eastAsia="Arial" w:hAnsi="Arial"/>
          <w:sz w:val="17"/>
          <w:szCs w:val="17"/>
          <w:color w:val="auto"/>
        </w:rPr>
        <w:t>Given that base editors require deaminases, and a UGI in the case of cytosine base editors, substantial enzyme discovery beyond programmable nucleases has been required in order to develop highly efficient base editors that have the potential to overcome the limitations of the current technology. We have mined over three million deaminases in order to identify enzymes with the capability to function as part of base editing systems. In many cases these novel deaminases have required minimal protein engineering to achieve therapeutically-relevant editing efficiencies in multiple studies. The ability of our metagenomics discovery platform to identify novel enzymes with high activity makes it possible to rapidly develop differentiated technology that surpasses first-generation systems.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base editors are highly active in mammalian cells across various genomic targets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 xml:space="preserve">Figure 14 </w:t>
      </w:r>
      <w:r>
        <w:rPr>
          <w:rFonts w:ascii="Arial" w:cs="Arial" w:eastAsia="Arial" w:hAnsi="Arial"/>
          <w:sz w:val="17"/>
          <w:szCs w:val="17"/>
          <w:color w:val="auto"/>
        </w:rPr>
        <w:t>ABE and CBE Developed from Type II MG3-6 System Have Been Shown to be Highly Active in Mammalian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128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p>
      <w:pPr>
        <w:spacing w:after="0" w:line="223" w:lineRule="exact"/>
        <w:rPr>
          <w:sz w:val="20"/>
          <w:szCs w:val="20"/>
          <w:color w:val="auto"/>
        </w:rPr>
      </w:pPr>
    </w:p>
    <w:p>
      <w:pPr>
        <w:ind w:left="120"/>
        <w:spacing w:after="0" w:line="301" w:lineRule="auto"/>
        <w:rPr>
          <w:sz w:val="20"/>
          <w:szCs w:val="20"/>
          <w:color w:val="auto"/>
        </w:rPr>
      </w:pPr>
      <w:r>
        <w:rPr>
          <w:rFonts w:ascii="Arial" w:cs="Arial" w:eastAsia="Arial" w:hAnsi="Arial"/>
          <w:sz w:val="17"/>
          <w:szCs w:val="17"/>
          <w:b w:val="1"/>
          <w:bCs w:val="1"/>
          <w:color w:val="auto"/>
        </w:rPr>
        <w:t>Figure 14a</w:t>
      </w:r>
      <w:r>
        <w:rPr>
          <w:rFonts w:ascii="Arial" w:cs="Arial" w:eastAsia="Arial" w:hAnsi="Arial"/>
          <w:sz w:val="17"/>
          <w:szCs w:val="17"/>
          <w:color w:val="auto"/>
        </w:rPr>
        <w:t>. ABE screening identified guides capable of achieving</w:t>
      </w:r>
      <w:r>
        <w:rPr>
          <w:rFonts w:ascii="Arial" w:cs="Arial" w:eastAsia="Arial" w:hAnsi="Arial"/>
          <w:sz w:val="17"/>
          <w:szCs w:val="17"/>
          <w:b w:val="1"/>
          <w:bCs w:val="1"/>
          <w:color w:val="auto"/>
        </w:rPr>
        <w:t xml:space="preserve"> </w:t>
      </w:r>
      <w:r>
        <w:rPr>
          <w:rFonts w:ascii="Arial" w:cs="Arial" w:eastAsia="Arial" w:hAnsi="Arial"/>
          <w:sz w:val="17"/>
          <w:szCs w:val="17"/>
          <w:color w:val="auto"/>
        </w:rPr>
        <w:t>saturating levels of A-to-G genome editing in mammalian cells.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auto"/>
        </w:rPr>
        <w:t>Figure 14b</w:t>
      </w:r>
      <w:r>
        <w:rPr>
          <w:rFonts w:ascii="Arial" w:cs="Arial" w:eastAsia="Arial" w:hAnsi="Arial"/>
          <w:sz w:val="18"/>
          <w:szCs w:val="18"/>
          <w:color w:val="auto"/>
        </w:rPr>
        <w:t>. CBE screening identified highly active deaminases</w:t>
      </w:r>
      <w:r>
        <w:rPr>
          <w:rFonts w:ascii="Arial" w:cs="Arial" w:eastAsia="Arial" w:hAnsi="Arial"/>
          <w:sz w:val="18"/>
          <w:szCs w:val="18"/>
          <w:b w:val="1"/>
          <w:bCs w:val="1"/>
          <w:color w:val="auto"/>
        </w:rPr>
        <w:t xml:space="preserve"> </w:t>
      </w:r>
      <w:r>
        <w:rPr>
          <w:rFonts w:ascii="Arial" w:cs="Arial" w:eastAsia="Arial" w:hAnsi="Arial"/>
          <w:sz w:val="18"/>
          <w:szCs w:val="18"/>
          <w:color w:val="auto"/>
        </w:rPr>
        <w:t>for C-to-T editing, compared to published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109220</wp:posOffset>
            </wp:positionV>
            <wp:extent cx="6995160" cy="9772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97726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5340" w:space="520"/>
            <w:col w:w="5220"/>
          </w:cols>
          <w:pgMar w:left="320" w:top="455"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Optimized ABE construct tested in Hepa 1-6 cells with mRNA delivery.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color w:val="auto"/>
        </w:rPr>
        <w:t>*     Unoptimized CBE construct tested in HEK293T cells with plasmid delivery.</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     CBE control uses hyperactive CDA A0A2K5RDN7.</w:t>
      </w:r>
    </w:p>
    <w:p>
      <w:pPr>
        <w:spacing w:after="0" w:line="155" w:lineRule="exact"/>
        <w:rPr>
          <w:sz w:val="20"/>
          <w:szCs w:val="20"/>
          <w:color w:val="auto"/>
        </w:rPr>
      </w:pPr>
    </w:p>
    <w:p>
      <w:pPr>
        <w:sectPr>
          <w:pgSz w:w="11900" w:h="16838" w:orient="portrait"/>
          <w:cols w:equalWidth="0" w:num="2">
            <w:col w:w="5140" w:space="720"/>
            <w:col w:w="5220"/>
          </w:cols>
          <w:pgMar w:left="320" w:top="455" w:right="49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 xml:space="preserve">Our base editors are highly active and progressing towards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therapeutic applications. Both of our ABE and CBE systems have been tested in mammalian cells in order to determine editing efficiency, where a large collection of guides spanning various genomic loci were tested for each system. Figure 14 shows that an optimized ABE construct delivered by mRNA achieved up to 96% editing efficiency, while a CBE tested without construct optimization using a less-efficient plasmid delivery approach achieved up to 58% editing efficiency. Notably, our CBE outperformed an industry-standard control CBE by several fold in this benchmarking experiment. Additional optimization of these already competitive CBE systems is expected to rapidly improve editing efficiencies to create potentially best-in-class systems for </w:t>
      </w:r>
      <w:r>
        <w:rPr>
          <w:rFonts w:ascii="Arial" w:cs="Arial" w:eastAsia="Arial" w:hAnsi="Arial"/>
          <w:sz w:val="18"/>
          <w:szCs w:val="18"/>
          <w:i w:val="1"/>
          <w:iCs w:val="1"/>
          <w:color w:val="auto"/>
        </w:rPr>
        <w:t xml:space="preserve">in vivo </w:t>
      </w:r>
      <w:r>
        <w:rPr>
          <w:rFonts w:ascii="Arial" w:cs="Arial" w:eastAsia="Arial" w:hAnsi="Arial"/>
          <w:sz w:val="18"/>
          <w:szCs w:val="18"/>
          <w:color w:val="auto"/>
        </w:rPr>
        <w:t>therapeutic applications, while the ABE systems have already progressed into</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studies.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80"/>
          </w:cols>
          <w:pgMar w:left="320" w:top="455" w:right="49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base editing platform has broad in vivo therapeutic potential</w:t>
      </w:r>
    </w:p>
    <w:p>
      <w:pPr>
        <w:spacing w:after="0" w:line="142"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color w:val="auto"/>
        </w:rPr>
        <w:t>Figure 15</w:t>
      </w:r>
      <w:r>
        <w:rPr>
          <w:rFonts w:ascii="Arial" w:cs="Arial" w:eastAsia="Arial" w:hAnsi="Arial"/>
          <w:sz w:val="18"/>
          <w:szCs w:val="18"/>
          <w:color w:val="auto"/>
        </w:rPr>
        <w:t>. Lead ABE System Developed from Type II MG3-6 System Demonstrated High Activity in Primary Cells and in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Mouse</w:t>
      </w:r>
      <w:r>
        <w:rPr>
          <w:rFonts w:ascii="Arial" w:cs="Arial" w:eastAsia="Arial" w:hAnsi="Arial"/>
          <w:sz w:val="18"/>
          <w:szCs w:val="18"/>
          <w:b w:val="1"/>
          <w:bCs w:val="1"/>
          <w:color w:val="auto"/>
        </w:rPr>
        <w:t xml:space="preserve"> </w:t>
      </w:r>
      <w:r>
        <w:rPr>
          <w:rFonts w:ascii="Arial" w:cs="Arial" w:eastAsia="Arial" w:hAnsi="Arial"/>
          <w:sz w:val="18"/>
          <w:szCs w:val="18"/>
          <w:color w:val="auto"/>
        </w:rPr>
        <w:t>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-284480</wp:posOffset>
            </wp:positionV>
            <wp:extent cx="6995160" cy="2571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154"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color w:val="auto"/>
        </w:rPr>
        <w:t>Figure 15a</w:t>
      </w:r>
      <w:r>
        <w:rPr>
          <w:rFonts w:ascii="Arial" w:cs="Arial" w:eastAsia="Arial" w:hAnsi="Arial"/>
          <w:sz w:val="18"/>
          <w:szCs w:val="18"/>
          <w:color w:val="auto"/>
        </w:rPr>
        <w:t>. Our lead ABE system efficiently edited primary mouse</w:t>
      </w:r>
      <w:r>
        <w:rPr>
          <w:rFonts w:ascii="Arial" w:cs="Arial" w:eastAsia="Arial" w:hAnsi="Arial"/>
          <w:sz w:val="18"/>
          <w:szCs w:val="18"/>
          <w:b w:val="1"/>
          <w:bCs w:val="1"/>
          <w:color w:val="auto"/>
        </w:rPr>
        <w:t xml:space="preserve"> </w:t>
      </w:r>
      <w:r>
        <w:rPr>
          <w:rFonts w:ascii="Arial" w:cs="Arial" w:eastAsia="Arial" w:hAnsi="Arial"/>
          <w:sz w:val="18"/>
          <w:szCs w:val="18"/>
          <w:color w:val="auto"/>
        </w:rPr>
        <w:t>hepatocytes at example target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118110</wp:posOffset>
            </wp:positionV>
            <wp:extent cx="6995160" cy="2040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2040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color w:val="auto"/>
        </w:rPr>
        <w:t>Figure 15b</w:t>
      </w:r>
      <w:r>
        <w:rPr>
          <w:rFonts w:ascii="Arial" w:cs="Arial" w:eastAsia="Arial" w:hAnsi="Arial"/>
          <w:sz w:val="18"/>
          <w:szCs w:val="18"/>
          <w:color w:val="auto"/>
        </w:rPr>
        <w:t>. Our lead ABE system demonstrated activity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when delivered to mouse livers by mRNA and LNP.</w:t>
      </w:r>
    </w:p>
    <w:p>
      <w:pPr>
        <w:spacing w:after="0" w:line="200" w:lineRule="exact"/>
        <w:rPr>
          <w:sz w:val="20"/>
          <w:szCs w:val="20"/>
          <w:color w:val="auto"/>
        </w:rPr>
      </w:pPr>
    </w:p>
    <w:p>
      <w:pPr>
        <w:sectPr>
          <w:pgSz w:w="11900" w:h="16838" w:orient="portrait"/>
          <w:cols w:equalWidth="0" w:num="2">
            <w:col w:w="5420" w:space="440"/>
            <w:col w:w="5240"/>
          </w:cols>
          <w:pgMar w:left="320" w:top="455"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 xml:space="preserve">In order to demonstrate the utility of the MG3-6 ABE platform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base editing, a lead construct design was tested both in primary cells and in mice. Multiple guides were tested in each study, designed to target different genomic loci. Figure 15 shows the results of these evaluations of the ABE platform, where up to 60% editing efficiency was demonstrated in primary hepatocytes and 35% efficiency was achieved across all liver cells in an initial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study using mRNA and LNP delivery. Given that approximately 70% of liver cells are hepatocytes, and therefore targetable by the LNP platform, this editing experiment suggests that approximately 50% of all targetable cells were successfully edited. We believe this level of editing, which is comparable to other initial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base editing studies, supports the potential to rapidly progress towards therapeutic applications. Given that both the ABE and CBE data shown in Figures 14 and 15 are based on a chimeric MG3-6 nickase, we anticipate that the broad targetability of this system will enable rapid development of multiple potential new therapeutic applications of base editing technology.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5" w:right="47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right="260"/>
        <w:spacing w:after="0" w:line="471" w:lineRule="auto"/>
        <w:rPr>
          <w:sz w:val="20"/>
          <w:szCs w:val="20"/>
          <w:color w:val="auto"/>
        </w:rPr>
      </w:pPr>
      <w:r>
        <w:rPr>
          <w:rFonts w:ascii="Arial" w:cs="Arial" w:eastAsia="Arial" w:hAnsi="Arial"/>
          <w:sz w:val="17"/>
          <w:szCs w:val="17"/>
          <w:i w:val="1"/>
          <w:iCs w:val="1"/>
          <w:color w:val="auto"/>
        </w:rPr>
        <w:t xml:space="preserve">Our SMART have been engineered to create ultra-small base editors, expanding the potential deliverability of base editing technology </w:t>
      </w:r>
      <w:r>
        <w:rPr>
          <w:rFonts w:ascii="Arial" w:cs="Arial" w:eastAsia="Arial" w:hAnsi="Arial"/>
          <w:sz w:val="17"/>
          <w:szCs w:val="17"/>
          <w:b w:val="1"/>
          <w:bCs w:val="1"/>
          <w:color w:val="auto"/>
        </w:rPr>
        <w:t>Figure 16</w:t>
      </w:r>
      <w:r>
        <w:rPr>
          <w:rFonts w:ascii="Arial" w:cs="Arial" w:eastAsia="Arial" w:hAnsi="Arial"/>
          <w:sz w:val="17"/>
          <w:szCs w:val="17"/>
          <w:color w:val="auto"/>
        </w:rPr>
        <w:t>. SMART Can be Engineered into Ultra-Small Base Editors with Naturally High Editing Efficiency and AAV Compatibility.</w:t>
      </w:r>
    </w:p>
    <w:p>
      <w:pPr>
        <w:sectPr>
          <w:pgSz w:w="11900" w:h="16838" w:orient="portrait"/>
          <w:cols w:equalWidth="0" w:num="1">
            <w:col w:w="11000"/>
          </w:cols>
          <w:pgMar w:left="320" w:top="455" w:right="579" w:bottom="1440" w:gutter="0" w:footer="0" w:header="0"/>
        </w:sectPr>
      </w:pPr>
    </w:p>
    <w:p>
      <w:pPr>
        <w:ind w:left="120"/>
        <w:spacing w:after="0" w:line="253" w:lineRule="auto"/>
        <w:rPr>
          <w:sz w:val="20"/>
          <w:szCs w:val="20"/>
          <w:color w:val="auto"/>
        </w:rPr>
      </w:pPr>
      <w:r>
        <w:rPr>
          <w:rFonts w:ascii="Arial" w:cs="Arial" w:eastAsia="Arial" w:hAnsi="Arial"/>
          <w:sz w:val="18"/>
          <w:szCs w:val="18"/>
          <w:b w:val="1"/>
          <w:bCs w:val="1"/>
          <w:color w:val="auto"/>
        </w:rPr>
        <w:t>Figure 16a</w:t>
      </w:r>
      <w:r>
        <w:rPr>
          <w:rFonts w:ascii="Arial" w:cs="Arial" w:eastAsia="Arial" w:hAnsi="Arial"/>
          <w:sz w:val="18"/>
          <w:szCs w:val="18"/>
          <w:color w:val="auto"/>
        </w:rPr>
        <w:t>. Ultra-small SMART base editors</w:t>
      </w:r>
      <w:r>
        <w:rPr>
          <w:rFonts w:ascii="Arial" w:cs="Arial" w:eastAsia="Arial" w:hAnsi="Arial"/>
          <w:sz w:val="18"/>
          <w:szCs w:val="18"/>
          <w:b w:val="1"/>
          <w:bCs w:val="1"/>
          <w:color w:val="auto"/>
        </w:rPr>
        <w:t xml:space="preserve"> </w:t>
      </w:r>
      <w:r>
        <w:rPr>
          <w:rFonts w:ascii="Arial" w:cs="Arial" w:eastAsia="Arial" w:hAnsi="Arial"/>
          <w:sz w:val="18"/>
          <w:szCs w:val="18"/>
          <w:color w:val="auto"/>
        </w:rPr>
        <w:t>are a fraction of the size of a typical Cas9 system, enabling AAV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813435</wp:posOffset>
            </wp:positionV>
            <wp:extent cx="1577340" cy="12687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77340" cy="12687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8"/>
          <w:szCs w:val="18"/>
          <w:b w:val="1"/>
          <w:bCs w:val="1"/>
          <w:color w:val="auto"/>
        </w:rPr>
        <w:t>Figure 16b</w:t>
      </w:r>
      <w:r>
        <w:rPr>
          <w:rFonts w:ascii="Arial" w:cs="Arial" w:eastAsia="Arial" w:hAnsi="Arial"/>
          <w:sz w:val="18"/>
          <w:szCs w:val="18"/>
          <w:color w:val="auto"/>
        </w:rPr>
        <w:t>. SMART ABE exhibited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similar editing profile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compared to SpCas9.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119380</wp:posOffset>
            </wp:positionV>
            <wp:extent cx="1499870" cy="19634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99870" cy="1963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71" w:lineRule="auto"/>
        <w:rPr>
          <w:sz w:val="20"/>
          <w:szCs w:val="20"/>
          <w:color w:val="auto"/>
        </w:rPr>
      </w:pPr>
      <w:r>
        <w:rPr>
          <w:rFonts w:ascii="Arial" w:cs="Arial" w:eastAsia="Arial" w:hAnsi="Arial"/>
          <w:sz w:val="18"/>
          <w:szCs w:val="18"/>
          <w:b w:val="1"/>
          <w:bCs w:val="1"/>
          <w:color w:val="auto"/>
        </w:rPr>
        <w:t>Figure 16c</w:t>
      </w:r>
      <w:r>
        <w:rPr>
          <w:rFonts w:ascii="Arial" w:cs="Arial" w:eastAsia="Arial" w:hAnsi="Arial"/>
          <w:sz w:val="18"/>
          <w:szCs w:val="18"/>
          <w:color w:val="auto"/>
        </w:rPr>
        <w:t>. SMART ABE were active in</w:t>
      </w:r>
      <w:r>
        <w:rPr>
          <w:rFonts w:ascii="Arial" w:cs="Arial" w:eastAsia="Arial" w:hAnsi="Arial"/>
          <w:sz w:val="18"/>
          <w:szCs w:val="18"/>
          <w:b w:val="1"/>
          <w:bCs w:val="1"/>
          <w:color w:val="auto"/>
        </w:rPr>
        <w:t xml:space="preserve"> </w:t>
      </w:r>
      <w:r>
        <w:rPr>
          <w:rFonts w:ascii="Arial" w:cs="Arial" w:eastAsia="Arial" w:hAnsi="Arial"/>
          <w:sz w:val="18"/>
          <w:szCs w:val="18"/>
          <w:color w:val="auto"/>
        </w:rPr>
        <w:t>mammalian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238125</wp:posOffset>
            </wp:positionV>
            <wp:extent cx="1663065" cy="6858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663065" cy="685800"/>
                    </a:xfrm>
                    <a:prstGeom prst="rect">
                      <a:avLst/>
                    </a:prstGeom>
                    <a:noFill/>
                  </pic:spPr>
                </pic:pic>
              </a:graphicData>
            </a:graphic>
          </wp:anchor>
        </w:drawing>
      </w:r>
    </w:p>
    <w:p>
      <w:pPr>
        <w:spacing w:after="0" w:line="387" w:lineRule="exact"/>
        <w:rPr>
          <w:sz w:val="20"/>
          <w:szCs w:val="20"/>
          <w:color w:val="auto"/>
        </w:rPr>
      </w:pPr>
    </w:p>
    <w:p>
      <w:pPr>
        <w:sectPr>
          <w:pgSz w:w="11900" w:h="16838" w:orient="portrait"/>
          <w:cols w:equalWidth="0" w:num="3">
            <w:col w:w="3680" w:space="420"/>
            <w:col w:w="3260" w:space="380"/>
            <w:col w:w="3260"/>
          </w:cols>
          <w:pgMar w:left="320" w:top="455"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100"/>
        <w:spacing w:after="0"/>
        <w:rPr>
          <w:sz w:val="20"/>
          <w:szCs w:val="20"/>
          <w:color w:val="auto"/>
        </w:rPr>
      </w:pPr>
      <w:r>
        <w:rPr>
          <w:rFonts w:ascii="Arial" w:cs="Arial" w:eastAsia="Arial" w:hAnsi="Arial"/>
          <w:sz w:val="13"/>
          <w:szCs w:val="13"/>
          <w:color w:val="auto"/>
        </w:rPr>
        <w:t>*     SMART ABE-MG34-1 base editing at four</w:t>
      </w:r>
    </w:p>
    <w:p>
      <w:pPr>
        <w:spacing w:after="0" w:line="10" w:lineRule="exact"/>
        <w:rPr>
          <w:sz w:val="20"/>
          <w:szCs w:val="20"/>
          <w:color w:val="auto"/>
        </w:rPr>
      </w:pPr>
    </w:p>
    <w:p>
      <w:pPr>
        <w:ind w:left="4100"/>
        <w:spacing w:after="0"/>
        <w:rPr>
          <w:sz w:val="20"/>
          <w:szCs w:val="20"/>
          <w:color w:val="auto"/>
        </w:rPr>
      </w:pPr>
      <w:r>
        <w:rPr>
          <w:rFonts w:ascii="Arial" w:cs="Arial" w:eastAsia="Arial" w:hAnsi="Arial"/>
          <w:sz w:val="13"/>
          <w:szCs w:val="13"/>
          <w:color w:val="auto"/>
        </w:rPr>
        <w:t xml:space="preserve">genomic targets loci in </w:t>
      </w:r>
      <w:r>
        <w:rPr>
          <w:rFonts w:ascii="Arial" w:cs="Arial" w:eastAsia="Arial" w:hAnsi="Arial"/>
          <w:sz w:val="13"/>
          <w:szCs w:val="13"/>
          <w:i w:val="1"/>
          <w:iCs w:val="1"/>
          <w:color w:val="auto"/>
        </w:rPr>
        <w:t>E. coli.</w:t>
      </w:r>
      <w:r>
        <w:rPr>
          <w:rFonts w:ascii="Arial" w:cs="Arial" w:eastAsia="Arial" w:hAnsi="Arial"/>
          <w:sz w:val="13"/>
          <w:szCs w:val="13"/>
          <w:color w:val="auto"/>
        </w:rPr>
        <w:t xml:space="preserve"> vs.</w:t>
      </w:r>
    </w:p>
    <w:p>
      <w:pPr>
        <w:ind w:left="4100"/>
        <w:spacing w:after="0"/>
        <w:rPr>
          <w:sz w:val="20"/>
          <w:szCs w:val="20"/>
          <w:color w:val="auto"/>
        </w:rPr>
      </w:pPr>
      <w:r>
        <w:rPr>
          <w:rFonts w:ascii="Arial" w:cs="Arial" w:eastAsia="Arial" w:hAnsi="Arial"/>
          <w:sz w:val="13"/>
          <w:szCs w:val="13"/>
          <w:color w:val="auto"/>
        </w:rPr>
        <w:t>reference SpCas9 system.</w:t>
      </w:r>
    </w:p>
    <w:p>
      <w:pPr>
        <w:spacing w:after="0" w:line="68" w:lineRule="exact"/>
        <w:rPr>
          <w:sz w:val="20"/>
          <w:szCs w:val="20"/>
          <w:color w:val="auto"/>
        </w:rPr>
      </w:pPr>
    </w:p>
    <w:p>
      <w:pPr>
        <w:ind w:left="4100"/>
        <w:spacing w:after="0"/>
        <w:rPr>
          <w:sz w:val="20"/>
          <w:szCs w:val="20"/>
          <w:color w:val="auto"/>
        </w:rPr>
      </w:pPr>
      <w:r>
        <w:rPr>
          <w:rFonts w:ascii="Arial" w:cs="Arial" w:eastAsia="Arial" w:hAnsi="Arial"/>
          <w:sz w:val="13"/>
          <w:szCs w:val="13"/>
          <w:color w:val="auto"/>
        </w:rPr>
        <w:t>*     Heatmap values represent the mean of</w:t>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13"/>
          <w:szCs w:val="13"/>
          <w:color w:val="auto"/>
        </w:rPr>
        <w:t>two independent experiments.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80"/>
        <w:spacing w:after="0" w:line="281" w:lineRule="auto"/>
        <w:rPr>
          <w:sz w:val="20"/>
          <w:szCs w:val="20"/>
          <w:color w:val="auto"/>
        </w:rPr>
      </w:pPr>
      <w:r>
        <w:rPr>
          <w:rFonts w:ascii="Arial" w:cs="Arial" w:eastAsia="Arial" w:hAnsi="Arial"/>
          <w:sz w:val="13"/>
          <w:szCs w:val="13"/>
          <w:color w:val="auto"/>
        </w:rPr>
        <w:t>*    SMART ABE achieved up to 22% base editing efficiency in human cells.</w:t>
      </w:r>
    </w:p>
    <w:p>
      <w:pPr>
        <w:spacing w:after="0" w:line="28" w:lineRule="exact"/>
        <w:rPr>
          <w:sz w:val="20"/>
          <w:szCs w:val="20"/>
          <w:color w:val="auto"/>
        </w:rPr>
      </w:pPr>
    </w:p>
    <w:p>
      <w:pPr>
        <w:ind w:right="760"/>
        <w:spacing w:after="0" w:line="259" w:lineRule="auto"/>
        <w:rPr>
          <w:sz w:val="20"/>
          <w:szCs w:val="20"/>
          <w:color w:val="auto"/>
        </w:rPr>
      </w:pPr>
      <w:r>
        <w:rPr>
          <w:rFonts w:ascii="Arial" w:cs="Arial" w:eastAsia="Arial" w:hAnsi="Arial"/>
          <w:sz w:val="13"/>
          <w:szCs w:val="13"/>
          <w:color w:val="auto"/>
        </w:rPr>
        <w:t>*    Base editing efficiency shown at three genomic targets tested in human HEK293T cells.</w:t>
      </w:r>
    </w:p>
    <w:p>
      <w:pPr>
        <w:spacing w:after="0" w:line="43" w:lineRule="exact"/>
        <w:rPr>
          <w:sz w:val="20"/>
          <w:szCs w:val="20"/>
          <w:color w:val="auto"/>
        </w:rPr>
      </w:pPr>
    </w:p>
    <w:p>
      <w:pPr>
        <w:ind w:right="680"/>
        <w:spacing w:after="0" w:line="281" w:lineRule="auto"/>
        <w:rPr>
          <w:sz w:val="20"/>
          <w:szCs w:val="20"/>
          <w:color w:val="auto"/>
        </w:rPr>
      </w:pPr>
      <w:r>
        <w:rPr>
          <w:rFonts w:ascii="Arial" w:cs="Arial" w:eastAsia="Arial" w:hAnsi="Arial"/>
          <w:sz w:val="13"/>
          <w:szCs w:val="13"/>
          <w:color w:val="auto"/>
        </w:rPr>
        <w:t>*    Heatmap values represent the mean of three independent experiments.</w:t>
      </w:r>
    </w:p>
    <w:p>
      <w:pPr>
        <w:spacing w:after="0" w:line="14" w:lineRule="exact"/>
        <w:rPr>
          <w:sz w:val="20"/>
          <w:szCs w:val="20"/>
          <w:color w:val="auto"/>
        </w:rPr>
      </w:pPr>
    </w:p>
    <w:p>
      <w:pPr>
        <w:sectPr>
          <w:pgSz w:w="11900" w:h="16838" w:orient="portrait"/>
          <w:cols w:equalWidth="0" w:num="2">
            <w:col w:w="7020" w:space="720"/>
            <w:col w:w="3260"/>
          </w:cols>
          <w:pgMar w:left="320" w:top="455" w:right="579" w:bottom="1440" w:gutter="0" w:footer="0" w:header="0"/>
          <w:type w:val="continuous"/>
        </w:sectPr>
      </w:pPr>
    </w:p>
    <w:p>
      <w:pPr>
        <w:ind w:left="4100"/>
        <w:spacing w:after="0"/>
        <w:rPr>
          <w:sz w:val="20"/>
          <w:szCs w:val="20"/>
          <w:color w:val="auto"/>
        </w:rPr>
      </w:pPr>
      <w:r>
        <w:rPr>
          <w:rFonts w:ascii="Arial" w:cs="Arial" w:eastAsia="Arial" w:hAnsi="Arial"/>
          <w:sz w:val="13"/>
          <w:szCs w:val="13"/>
          <w:color w:val="auto"/>
        </w:rPr>
        <w:t>*     The target sequence for each locus is shown above the heatmap.</w:t>
      </w:r>
    </w:p>
    <w:p>
      <w:pPr>
        <w:spacing w:after="0" w:line="80" w:lineRule="exact"/>
        <w:rPr>
          <w:sz w:val="20"/>
          <w:szCs w:val="20"/>
          <w:color w:val="auto"/>
        </w:rPr>
      </w:pPr>
    </w:p>
    <w:p>
      <w:pPr>
        <w:ind w:left="4100"/>
        <w:spacing w:after="0"/>
        <w:rPr>
          <w:sz w:val="20"/>
          <w:szCs w:val="20"/>
          <w:color w:val="auto"/>
        </w:rPr>
      </w:pPr>
      <w:r>
        <w:rPr>
          <w:rFonts w:ascii="Arial" w:cs="Arial" w:eastAsia="Arial" w:hAnsi="Arial"/>
          <w:sz w:val="13"/>
          <w:szCs w:val="13"/>
          <w:color w:val="auto"/>
        </w:rPr>
        <w:t>*     Heatmaps represent the percentage of NGS reads supporting an edit at each position.</w:t>
      </w:r>
    </w:p>
    <w:p>
      <w:pPr>
        <w:spacing w:after="0" w:line="148"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3"/>
          <w:szCs w:val="13"/>
          <w:color w:val="auto"/>
        </w:rPr>
        <w:t>Source:</w:t>
        <w:tab/>
        <w:t>Goltsman et al 2022 Nature Communications</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Figure 16 illustrates how our ultra-small SMART nucleases provide an opportunity to develop compact base editors with the potential to improve delivery using existing AAV technology. Our engineered, but unoptimized SMART ABE systems were observed to edit target loci at levels comparable to reference SpCas9 systems, and with up to 22% editing efficiency in mammalian cells. Achieving this level of efficiency with an unoptimized system, comparable to initial base editing readouts achieved with SpCas9, indicates that additional engineering has the potential to rapidly and significantly improve editing efficiencies. The SMART ABE highlighted in Figure 16 is one of the smallest nickase-based systems with activity in mammalian cells (969 aa), and at 623 aa another SMART ABE under development is even smaller. Together, these systems provide us with unique opportunities to optimize base editors using the naturally compact, precise, and programmable SMART platform.</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00"/>
          </w:cols>
          <w:pgMar w:left="320" w:top="455" w:right="57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RNA-Mediated Integration Systems: RIGS for prime editing and large genomic integrations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17</w:t>
      </w:r>
      <w:r>
        <w:rPr>
          <w:rFonts w:ascii="Arial" w:cs="Arial" w:eastAsia="Arial" w:hAnsi="Arial"/>
          <w:sz w:val="18"/>
          <w:szCs w:val="18"/>
          <w:color w:val="auto"/>
        </w:rPr>
        <w:t>. Schematic Showing Application of RIGS for Small Replacements and Large Integrations.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103505</wp:posOffset>
            </wp:positionV>
            <wp:extent cx="5203190" cy="28886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0319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Programmable nucleases, which use dsDNA breaks to trigger DNA repair machinery to enact specific genomic changes, and base editors, which use chemical modifications to convert specific base pairs in the human genome, cannot address all mutations that cause disease. RIGS are being developed in order to encode any type of genomic modification in an RNA template, and thus create any type of genome modification necessary to address a disease (Figure 17). RIGS involve using RTs to convert genomic corrections encoded in RNA into DNA, and are engineered with programmable nucleases or nickases to incorporate newly synthesized DNA messages into the genome at specified target sites. Importantly, any genomic modification can be encoded in the RNA template. Furthermore, the potential for having an all-RNA format for the system, including delivery of the protein components as mRNA, could simplify delivery for some applications. For example, the all-RNA format could enable use of LNPs for delivery of systems to the liver for large, targeted genomic integrations. The enzymatic nature of the genome integration, combined with the ability to deliver the entire system as RNA is of particular importance when considering large integrations, since the delivery of DNA templates at concentrations required for integration mediated by DNA repair machinery can be toxic.</w:t>
      </w:r>
    </w:p>
    <w:p>
      <w:pPr>
        <w:spacing w:after="0" w:line="118"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One implementation of RIGS is to use our programmable nickases and RTs for prime editing. Prime editing can repair diverse mutations, including all types of point mutations, deletion mutations, insertion and duplication mutations and insertion-deletion mutations. As with other genome editing approaches, prime editing systems, and RIGS more broadly, create permanent modifications at natural genomic locations, resulting in durable edits that are passed on through cell divisions and that are expressed under natural mechanisms specific to the gene or target of interest. One key aspect of prime editing is the modification of a CRISPR gRNA to create a pegRNA (“prime editing gRNA”). In this design, the typical backbone and targeting components of the gRNA are maintained; however, additional sequence is added to the guide in order to code for a desired genomic correction and to prime a RT to begin synthesizing new DNA sequence. During prime editing a portion of the pegRNA containing the genomic modification is copied into DNA at a specific site in the genome sequence. Once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the RT has incorporated the new DNA sequence into the target site, DNA repair machinery will finalize the genome edit by removing the corresponding section of the original sequence, synthesizing any required complementary DNA, and ligating the ends of the nicked DNA strands. We have discovered a collection of novel RTs that can be combined with our nickases to perform prime editing in mammalian cells at levels and with accuracy that surpasses industry-standard systems.</w:t>
      </w:r>
    </w:p>
    <w:p>
      <w:pPr>
        <w:spacing w:after="0" w:line="106" w:lineRule="exact"/>
        <w:rPr>
          <w:sz w:val="20"/>
          <w:szCs w:val="20"/>
          <w:color w:val="auto"/>
        </w:rPr>
      </w:pPr>
    </w:p>
    <w:p>
      <w:pPr>
        <w:ind w:left="120" w:right="20"/>
        <w:spacing w:after="0" w:line="254" w:lineRule="auto"/>
        <w:rPr>
          <w:sz w:val="20"/>
          <w:szCs w:val="20"/>
          <w:color w:val="auto"/>
        </w:rPr>
      </w:pPr>
      <w:r>
        <w:rPr>
          <w:rFonts w:ascii="Arial" w:cs="Arial" w:eastAsia="Arial" w:hAnsi="Arial"/>
          <w:sz w:val="17"/>
          <w:szCs w:val="17"/>
          <w:color w:val="auto"/>
        </w:rPr>
        <w:t>Current prime editing and RNA-templated editing approaches are limited by the size of the RNA template that can be incorporated into a genomic site. This limitation is based on multiple aspects of the system design, including 1) the need to encode gRNA and RT template sequences in a single pegRNA, and 2) the processivity and fidelity of the RT. The first constraint can be addressed by creating new system designs in which the gRNA and repair template are encoded in separate RNA molecules, where additional engineering ensures that the templates and RT are able to co-localize to the nucleus, and more specifically, to targeted sites in the genome. Regarding the second point, processivity and fidelity are biochemical characteristics that relate to the ability of an RT to traverse through large and structurally complex RNA templates (processivity) and to do so without introducing errors (fidelity). We have identified and developed novel RTs that we believe surpass the processivity and fidelity requirements for therapeutic delivery of transgenes as RNA templates, for example in order to treat diseases by introducing a complete and correct copy of a gene in order to overcome a loss-of-function mutation. Furthermore, we are engineering these RTs with programmable nucleases and nickases to achieve large, targeted genomic integrations.</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Approach</w:t>
      </w:r>
    </w:p>
    <w:p>
      <w:pPr>
        <w:spacing w:after="0" w:line="142"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Similar to base editing, development of RIGS leverages our expansive platform of programmable nucleases that can be converted into nickases, including ultra-small SMART, as well as a metagenomics discovery approach that enables the rapid identification of novel RTs that have the specific characteristics necessary for different genome editing applications. The targetability of our toolbox of programmable nucleases will enable essentially any target sites of interest to be addressed, and compatibility with ultra-small SMART effectors could expand the deliverability of RIGS to therapeutically relevant tissues and organs.</w:t>
      </w:r>
    </w:p>
    <w:p>
      <w:pPr>
        <w:spacing w:after="0" w:line="10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Little RIGS describes systems used for prime editing (e.g., for small genomic replacements such as transversions, transitions, insertions, and deletions), while Big RIGS describes systems capable of making large targeted genomic integrations. The mechanisms driving these systems differ from one another, but both are based on using a reverse transcriptase to incorporate genomic corrections encoded in RNA into target sites in the genome identified by a programmable nickase or nuclease. We identified five million RT candidates from novel families in order to find systems for Little and Big RIGS development. RTs found in nature are highly diverse, but typically do not have all the characteristics suited towards being useful in a therapeutic context. Based on measured enzyme characteristics such as fidelity and processivity, RTs are nominated and combined with our programmable nucleases/nickases for either Little and/or Big RIGS engineering. Our Little RIGS are benchmarked against industry-standard prime editing systems in order to rapidly identify top-performing systems. Currently, we believe no genome editing system has been described that is comparable to Big RIGS. Our Big and Little RIGS are undergoing indication-specific optimization. We believe that this combination of discovery and system optimization will enable the rapid development of best and first in class genome editing systems that, together, can enact any type of genomic edit.</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40"/>
          </w:cols>
          <w:pgMar w:left="320" w:top="455" w:right="5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RIGS have shown complex prime editing in mammalian cells</w:t>
      </w:r>
    </w:p>
    <w:p>
      <w:pPr>
        <w:spacing w:after="0" w:line="142"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b w:val="1"/>
          <w:bCs w:val="1"/>
          <w:color w:val="auto"/>
        </w:rPr>
        <w:t>Figure 18</w:t>
      </w:r>
      <w:r>
        <w:rPr>
          <w:rFonts w:ascii="Arial" w:cs="Arial" w:eastAsia="Arial" w:hAnsi="Arial"/>
          <w:sz w:val="18"/>
          <w:szCs w:val="18"/>
          <w:color w:val="auto"/>
        </w:rPr>
        <w:t>. Our RTs Outperformed Benchmarks for G-to-T Prime Editing in Mammalian Cells. Graph Depicts a Broad Range of RTs that</w:t>
      </w:r>
      <w:r>
        <w:rPr>
          <w:rFonts w:ascii="Arial" w:cs="Arial" w:eastAsia="Arial" w:hAnsi="Arial"/>
          <w:sz w:val="18"/>
          <w:szCs w:val="18"/>
          <w:b w:val="1"/>
          <w:bCs w:val="1"/>
          <w:color w:val="auto"/>
        </w:rPr>
        <w:t xml:space="preserve"> </w:t>
      </w:r>
      <w:r>
        <w:rPr>
          <w:rFonts w:ascii="Arial" w:cs="Arial" w:eastAsia="Arial" w:hAnsi="Arial"/>
          <w:sz w:val="18"/>
          <w:szCs w:val="18"/>
          <w:color w:val="auto"/>
        </w:rPr>
        <w:t>Exhibited Higher Natural Activity than Unengineered Prime Editing 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5263515" cy="13970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263515"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0" w:hanging="324"/>
        <w:spacing w:after="0"/>
        <w:tabs>
          <w:tab w:leader="none" w:pos="4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Unengineered prime editing control RT is from Moloney murine leukemia virus (“MMLV”).</w:t>
      </w:r>
    </w:p>
    <w:p>
      <w:pPr>
        <w:spacing w:after="0" w:line="161" w:lineRule="exact"/>
        <w:rPr>
          <w:rFonts w:ascii="Arial" w:cs="Arial" w:eastAsia="Arial" w:hAnsi="Arial"/>
          <w:sz w:val="13"/>
          <w:szCs w:val="13"/>
          <w:color w:val="auto"/>
        </w:rPr>
      </w:pPr>
    </w:p>
    <w:p>
      <w:pPr>
        <w:ind w:left="440" w:hanging="324"/>
        <w:spacing w:after="0"/>
        <w:tabs>
          <w:tab w:leader="none" w:pos="4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RTs were cloned into a plasmid backbone that was co-transfected with chemically synthesized pegRNAs designed to edit the genome of human HEK293T cells.</w:t>
      </w:r>
    </w:p>
    <w:p>
      <w:pPr>
        <w:spacing w:after="0" w:line="161" w:lineRule="exact"/>
        <w:rPr>
          <w:rFonts w:ascii="Arial" w:cs="Arial" w:eastAsia="Arial" w:hAnsi="Arial"/>
          <w:sz w:val="13"/>
          <w:szCs w:val="13"/>
          <w:color w:val="auto"/>
        </w:rPr>
      </w:pPr>
    </w:p>
    <w:p>
      <w:pPr>
        <w:ind w:left="440" w:hanging="324"/>
        <w:spacing w:after="0"/>
        <w:tabs>
          <w:tab w:leader="none" w:pos="4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Genomic DNA was isolated 72 hours post transfection and target loci were amplified for NGS to evaluate editing outcomes.</w:t>
      </w:r>
    </w:p>
    <w:p>
      <w:pPr>
        <w:spacing w:after="0" w:line="15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Our RTs are benchmarked against natural and engineered variants of an RT widely used for prime editing in order to identify highly active natural enzymes for further optimization along with our programmable nickases. Figure 18 shows that our natural RTs are more active than a control RT when used for prime editing. In addition, our minimally engineered RTs demonstrated up to 6 times higher activity than the unengineered control RT for a G-to-T change. This indicates that we can potentially optimize gene editing activity quicker than comparable prime editing RTs. Figure 19 shows that a minimally engineered Metagenomi RT has editing efficiencies equivalent to or better than engineered, industry-standard prime editing RT. Notably, this has been achieved with an ultra-small RT that is only 251 aa in length, compared with the 671 aa of the standard prime editing RT. For therapeutic applications, complex corrections must be precise, and the precision of RIGS depends on the unique characteristics of the reverse transcriptase used. Figure 19 also shows that one of our RTs has demonstrated significantly higher editing accuracy compared to the engineered, industry-standard control. In order to measure optimal activity for new systems, multiple primer binding sequence (PBS) lengths must be tested. In some case, Metagenomi RT are more active across a broader range and with smaller PBS lengths compared with the control, providing more flexibility around pegRNA design. We believe our RIGS are distinguished from typical systems used for prime editing by the high efficiency and accuracy of the RTs, as well as the broad targetability of our programmable nickases.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19</w:t>
      </w:r>
      <w:r>
        <w:rPr>
          <w:rFonts w:ascii="Arial" w:cs="Arial" w:eastAsia="Arial" w:hAnsi="Arial"/>
          <w:sz w:val="18"/>
          <w:szCs w:val="18"/>
          <w:color w:val="auto"/>
        </w:rPr>
        <w:t>. Our Ultra-Small RTs are Efficient and Accurate Systems for Conducting Complex Genomic Corrections in Mammalian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5203190" cy="14916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0319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The engineered prime editing benchmark RT is the MMLV variant used in PE2 prime editing systems.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RT were tested with an unoptimized plasmid delivery system that enables high-throughput benchmarking of novel RT to identify leads.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Plasmids encoding RT and Cas were co-transfected with chemically synthesized pegRNAs designed to edit the genome of human HEK293T cells.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Genomic DNA was isolated 72 hours post transfection and target loci were amplified for NGS to evaluate editing outcomes.</w:t>
      </w:r>
    </w:p>
    <w:p>
      <w:pPr>
        <w:spacing w:after="0" w:line="305" w:lineRule="exact"/>
        <w:rPr>
          <w:sz w:val="20"/>
          <w:szCs w:val="20"/>
          <w:color w:val="auto"/>
        </w:rPr>
      </w:pPr>
    </w:p>
    <w:p>
      <w:pPr>
        <w:ind w:left="120" w:right="160"/>
        <w:spacing w:after="0" w:line="444" w:lineRule="auto"/>
        <w:rPr>
          <w:sz w:val="20"/>
          <w:szCs w:val="20"/>
          <w:color w:val="auto"/>
        </w:rPr>
      </w:pPr>
      <w:r>
        <w:rPr>
          <w:rFonts w:ascii="Arial" w:cs="Arial" w:eastAsia="Arial" w:hAnsi="Arial"/>
          <w:sz w:val="18"/>
          <w:szCs w:val="18"/>
          <w:i w:val="1"/>
          <w:iCs w:val="1"/>
          <w:color w:val="auto"/>
        </w:rPr>
        <w:t xml:space="preserve">Our novel RTs are selected to enable the development of Big RIGS for RNA-templated, large, targeted therapeutic transgene integration </w:t>
      </w:r>
      <w:r>
        <w:rPr>
          <w:rFonts w:ascii="Arial" w:cs="Arial" w:eastAsia="Arial" w:hAnsi="Arial"/>
          <w:sz w:val="18"/>
          <w:szCs w:val="18"/>
          <w:b w:val="1"/>
          <w:bCs w:val="1"/>
          <w:color w:val="auto"/>
        </w:rPr>
        <w:t>Figure 20</w:t>
      </w:r>
      <w:r>
        <w:rPr>
          <w:rFonts w:ascii="Arial" w:cs="Arial" w:eastAsia="Arial" w:hAnsi="Arial"/>
          <w:sz w:val="18"/>
          <w:szCs w:val="18"/>
          <w:color w:val="auto"/>
        </w:rPr>
        <w:t>. Our RTs Have Been Observed to be Active, Processive, and High-Fidelity.</w:t>
      </w:r>
    </w:p>
    <w:p>
      <w:pPr>
        <w:sectPr>
          <w:pgSz w:w="11900" w:h="16838" w:orient="portrait"/>
          <w:cols w:equalWidth="0" w:num="1">
            <w:col w:w="11100"/>
          </w:cols>
          <w:pgMar w:left="320" w:top="455" w:right="479" w:bottom="1440" w:gutter="0" w:footer="0" w:header="0"/>
        </w:sectPr>
      </w:pPr>
    </w:p>
    <w:p>
      <w:pPr>
        <w:spacing w:after="0" w:line="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color w:val="auto"/>
        </w:rPr>
        <w:t>Figure 20a</w:t>
      </w:r>
      <w:r>
        <w:rPr>
          <w:rFonts w:ascii="Arial" w:cs="Arial" w:eastAsia="Arial" w:hAnsi="Arial"/>
          <w:sz w:val="18"/>
          <w:szCs w:val="18"/>
          <w:color w:val="auto"/>
        </w:rPr>
        <w:t>. Our RTs were more processive than RT typically used for</w:t>
      </w:r>
      <w:r>
        <w:rPr>
          <w:rFonts w:ascii="Arial" w:cs="Arial" w:eastAsia="Arial" w:hAnsi="Arial"/>
          <w:sz w:val="18"/>
          <w:szCs w:val="18"/>
          <w:b w:val="1"/>
          <w:bCs w:val="1"/>
          <w:color w:val="auto"/>
        </w:rPr>
        <w:t xml:space="preserve"> </w:t>
      </w:r>
      <w:r>
        <w:rPr>
          <w:rFonts w:ascii="Arial" w:cs="Arial" w:eastAsia="Arial" w:hAnsi="Arial"/>
          <w:sz w:val="18"/>
          <w:szCs w:val="18"/>
          <w:color w:val="auto"/>
        </w:rPr>
        <w:t>prime editing, enabling transcriptions of large gene templates in mammalian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119380</wp:posOffset>
            </wp:positionV>
            <wp:extent cx="2125980" cy="11658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25980" cy="1165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71" w:lineRule="auto"/>
        <w:rPr>
          <w:sz w:val="20"/>
          <w:szCs w:val="20"/>
          <w:color w:val="auto"/>
        </w:rPr>
      </w:pPr>
      <w:r>
        <w:rPr>
          <w:rFonts w:ascii="Arial" w:cs="Arial" w:eastAsia="Arial" w:hAnsi="Arial"/>
          <w:sz w:val="18"/>
          <w:szCs w:val="18"/>
          <w:b w:val="1"/>
          <w:bCs w:val="1"/>
          <w:color w:val="auto"/>
        </w:rPr>
        <w:t>Figure 20b</w:t>
      </w:r>
      <w:r>
        <w:rPr>
          <w:rFonts w:ascii="Arial" w:cs="Arial" w:eastAsia="Arial" w:hAnsi="Arial"/>
          <w:sz w:val="18"/>
          <w:szCs w:val="18"/>
          <w:color w:val="auto"/>
        </w:rPr>
        <w:t>. Our RTs were more accurate than industry-standard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238125</wp:posOffset>
            </wp:positionV>
            <wp:extent cx="2374265" cy="12858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374265" cy="1285875"/>
                    </a:xfrm>
                    <a:prstGeom prst="rect">
                      <a:avLst/>
                    </a:prstGeom>
                    <a:noFill/>
                  </pic:spPr>
                </pic:pic>
              </a:graphicData>
            </a:graphic>
          </wp:anchor>
        </w:drawing>
      </w:r>
    </w:p>
    <w:p>
      <w:pPr>
        <w:spacing w:after="0" w:line="387" w:lineRule="exact"/>
        <w:rPr>
          <w:sz w:val="20"/>
          <w:szCs w:val="20"/>
          <w:color w:val="auto"/>
        </w:rPr>
      </w:pPr>
    </w:p>
    <w:p>
      <w:pPr>
        <w:sectPr>
          <w:pgSz w:w="11900" w:h="16838" w:orient="portrait"/>
          <w:cols w:equalWidth="0" w:num="2">
            <w:col w:w="5660" w:space="200"/>
            <w:col w:w="5240"/>
          </w:cols>
          <w:pgMar w:left="320" w:top="455"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Prime editing benchmark RT is MMLV.</w:t>
      </w:r>
    </w:p>
    <w:p>
      <w:pPr>
        <w:spacing w:after="0" w:line="161" w:lineRule="exact"/>
        <w:rPr>
          <w:sz w:val="20"/>
          <w:szCs w:val="20"/>
          <w:color w:val="auto"/>
        </w:rPr>
      </w:pPr>
    </w:p>
    <w:p>
      <w:pPr>
        <w:ind w:left="380" w:hanging="269"/>
        <w:spacing w:after="0" w:line="281" w:lineRule="auto"/>
        <w:rPr>
          <w:sz w:val="20"/>
          <w:szCs w:val="20"/>
          <w:color w:val="auto"/>
        </w:rPr>
      </w:pPr>
      <w:r>
        <w:rPr>
          <w:rFonts w:ascii="Arial" w:cs="Arial" w:eastAsia="Arial" w:hAnsi="Arial"/>
          <w:sz w:val="13"/>
          <w:szCs w:val="13"/>
          <w:color w:val="auto"/>
        </w:rPr>
        <w:t>*    Processivity was measured by qPCR quantification of cDNA produced in mammalian cells from 4 kb templates.</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Typically, less than 1% of 4 kb templates are fully transcribed by MMLV.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     Template modifications are N1-methylpseudouridine.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     Fidelity was measured by NGS.</w:t>
      </w:r>
    </w:p>
    <w:p>
      <w:pPr>
        <w:spacing w:after="0" w:line="599" w:lineRule="exact"/>
        <w:rPr>
          <w:sz w:val="20"/>
          <w:szCs w:val="20"/>
          <w:color w:val="auto"/>
        </w:rPr>
      </w:pPr>
    </w:p>
    <w:p>
      <w:pPr>
        <w:sectPr>
          <w:pgSz w:w="11900" w:h="16838" w:orient="portrait"/>
          <w:cols w:equalWidth="0" w:num="2">
            <w:col w:w="5740" w:space="120"/>
            <w:col w:w="5240"/>
          </w:cols>
          <w:pgMar w:left="320" w:top="455" w:right="479" w:bottom="1440" w:gutter="0" w:footer="0" w:header="0"/>
          <w:type w:val="continuous"/>
        </w:sectPr>
      </w:pPr>
    </w:p>
    <w:p>
      <w:pPr>
        <w:ind w:left="120"/>
        <w:spacing w:after="0" w:line="266" w:lineRule="auto"/>
        <w:rPr>
          <w:sz w:val="20"/>
          <w:szCs w:val="20"/>
          <w:color w:val="auto"/>
        </w:rPr>
      </w:pPr>
      <w:r>
        <w:rPr>
          <w:rFonts w:ascii="Arial" w:cs="Arial" w:eastAsia="Arial" w:hAnsi="Arial"/>
          <w:sz w:val="17"/>
          <w:szCs w:val="17"/>
          <w:color w:val="auto"/>
        </w:rPr>
        <w:t>Our RTs were screened based on their activity and processivity in mammalian cells in order to identify highly active systems capable of reverse transcribing RNA templates over 4,000 base pairs in length (&gt;4 kbp). We chose the 4 kb benchmark as many potential therapeutic targets could be addressed with a genomic integration of this size (current prime editing systems are limited to RNA-templated integration around 100 bp). In Figure 20, our best-characterized RTs were compared with industry standard systems in order to benchmark their</w:t>
      </w:r>
    </w:p>
    <w:p>
      <w:pPr>
        <w:spacing w:after="0" w:line="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00"/>
          </w:cols>
          <w:pgMar w:left="320" w:top="455" w:right="47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activity, processivity, and fidelity. When tested in mammalian cells, our RTs were routinely able to fully transcribe a 4 kbp template into DNA. In Figure 20a, we show that our RTs demonstrated orders of magnitude more processivity than control RT when tested on these large templates, which we believe is a strong indication of being able to convert therapeutically relevant templates delivered as RNA into DNA for genomic integration. Importantly, Figure 20b also shows that on average our RTs transcribed over 4 kbp without introducing errors. Furthermore, template modifications (N1-methylpseudouridine), which could enable delivery of RNA templates less likely to trigger an immune response, improved fidelity. We are engineering our RTs along with our programmable nucleases and nickases for targeted genomic integration of a donor template delivered as RNA. Initial readouts show that when combined with a CRISPR effector and targeting gRNA, Metagenomi RT are able to incorporate newly synthesized DNA from an RNA template into a target site. In principle, these systems, which represent a major step forward in the genome editing space, could be delivered entirely as RNA and could enable large, targeted exogenous gene integrations.</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DNA-Mediated Integration Systems: CAST and other approaches to achieving large genomic integrations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21</w:t>
      </w:r>
      <w:r>
        <w:rPr>
          <w:rFonts w:ascii="Arial" w:cs="Arial" w:eastAsia="Arial" w:hAnsi="Arial"/>
          <w:sz w:val="18"/>
          <w:szCs w:val="18"/>
          <w:color w:val="auto"/>
        </w:rPr>
        <w:t>. Schematic Showing Application of CAST for Large, Targeted Genomic Integrations.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103505</wp:posOffset>
            </wp:positionV>
            <wp:extent cx="5203190" cy="18942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0319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Genome editing approaches based on nucleases, base editing, and prime editing are capable of precisely modifying the genome to address disease. However, for therapeutic approaches that necessitate expression of an exogenous gene or complete gene correction, large integration approaches are needed. Many individual diseases are associated with a wide variety of genetic mutations and thus may require an entire healthy gene to counteract each of the many different underlying causes. For example, there are over 1,800 mutations in the CFTR gene associated with cystic fibrosis. While in theory most of these mutations could be addressed using distinct and mutation-specific base or prime editing systems, this would require the optimization and translation of a large number of genome editing therapies. Alternatively, integration of a complete and correct copy of the CFTR gene could potentially cure patients with varying mutations in a one-and-done treatment. Directed DNA integration has largely been considered the ultimate goal of corrective genome editing, where enzymatic systems with this capability could provide safe and sustained therapeutic protein expression. By developing DNA-mediated integration systems and RIGS, we are at the forefront of creating a new class of genome editing therapeutics.</w:t>
      </w:r>
    </w:p>
    <w:p>
      <w:pPr>
        <w:spacing w:after="0" w:line="9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Many efforts over the past decades have sought to achieve direct DNA integration in order to develop treatments that work across diverse tissues, cell types, and genetic variants. Established transposase and</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60"/>
          </w:cols>
          <w:pgMar w:left="320" w:top="455" w:right="5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lentiviral systems are efficient at inserting large DNA cargos into the human genome but result in non-specific and sometimes hyperactive integrations that have led to severe adverse events during clinical trials. Furthermore, recombinases have gained attention recently as a possible solution, given that they are able to incorporate large (&gt;10 kbp) genomic cargos in a non-random, site-specific manner in mammalian cells. However, these systems typically require additional genome editing tools, such as prime editing systems, in order to first install recognition sites into the genome. These recognition sites are required by the recombinase and thus control where the enzyme can incorporate new genomic material.</w:t>
      </w:r>
    </w:p>
    <w:p>
      <w:pPr>
        <w:spacing w:after="0" w:line="111"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CASTs are a new technology that is exciting because of their programmable, site-specific, and enzymatic integration capabilities. While these systems have been challenging to translate for mammalian cell and human therapeutic applications, we have had recent breakthrough success by demonstrating that the most compact type of CAST, based on catalytically dead nucleases, are capable of programmable and targeted DNA integration into the genome of human cells. Our potentially first-in-class CASTs are being developed in order to enable large (&gt;10 kbp), targeted genomic integrations for therapeutic applications. This technology has the potential to address a large collection of complex genetic diseases driven by a loss of function mutation, such as cystic fibrosis.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Approach</w:t>
      </w:r>
    </w:p>
    <w:p>
      <w:pPr>
        <w:spacing w:after="0" w:line="142" w:lineRule="exact"/>
        <w:rPr>
          <w:sz w:val="20"/>
          <w:szCs w:val="20"/>
          <w:color w:val="auto"/>
        </w:rPr>
      </w:pPr>
    </w:p>
    <w:p>
      <w:pPr>
        <w:ind w:left="120" w:right="180"/>
        <w:spacing w:after="0" w:line="242" w:lineRule="auto"/>
        <w:rPr>
          <w:sz w:val="20"/>
          <w:szCs w:val="20"/>
          <w:color w:val="auto"/>
        </w:rPr>
      </w:pPr>
      <w:r>
        <w:rPr>
          <w:rFonts w:ascii="Arial" w:cs="Arial" w:eastAsia="Arial" w:hAnsi="Arial"/>
          <w:sz w:val="18"/>
          <w:szCs w:val="18"/>
          <w:color w:val="auto"/>
        </w:rPr>
        <w:t>We are pursuing multiple approaches to achieve targeted, large genomic integrations, including both RNA and DNA templated systems. Unlike RNA-templated systems that undergo a copying mechanism in order to integrate into the genome, DNA templated systems orchestrate the direct mobilization of the template into the genome. This direct integration avoids copying mechanisms that may be inhibited by certain template features, and thus allows for the incorporation of much larger templates compared with RNA-mediated systems. Given that RNA-templated systems may have delivery advantages for some applications, we are developing both technologies to have the broadest potential to address diseases through targeted integration of large transgenes.</w:t>
      </w:r>
    </w:p>
    <w:p>
      <w:pPr>
        <w:spacing w:after="0" w:line="11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 xml:space="preserve">The development of our novel, potentially first-in-class CAST systems was made possible by the discovery and engineering of active natural variants from our metagenomic library. CASTs are being developed to achieve accurate and efficient integration of large DNA cargos at a target locus, without depending on dsDNA breaks. CASTs are unique in that they combine the programmability of a CRISPR effector with the enzymatic integration capability of a transposase. We hypothesized that activity in human cells could be accomplished by combining novel system discovery with systematic development designed to tune the systems to the mammalian nuclear environment. We conducted a detailed survey of newly-discovered CAST systems and demonstrated the ability of novel systems for programmable integration of a transgene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in </w:t>
      </w:r>
      <w:r>
        <w:rPr>
          <w:rFonts w:ascii="Arial" w:cs="Arial" w:eastAsia="Arial" w:hAnsi="Arial"/>
          <w:sz w:val="18"/>
          <w:szCs w:val="18"/>
          <w:i w:val="1"/>
          <w:iCs w:val="1"/>
          <w:color w:val="auto"/>
        </w:rPr>
        <w:t>E. coli</w:t>
      </w:r>
      <w:r>
        <w:rPr>
          <w:rFonts w:ascii="Arial" w:cs="Arial" w:eastAsia="Arial" w:hAnsi="Arial"/>
          <w:sz w:val="18"/>
          <w:szCs w:val="18"/>
          <w:color w:val="auto"/>
        </w:rPr>
        <w:t>. The high efficiency of our systems enabled us to demonstrate directed transposase activity into single copy, safe harbor loci in the genome of human cells, as shown in Figure 21. Our results will enable the rapid development and optimization of CASTs to address unmet therapeutic and biotechnological needs. We believe we are the first to achieve this milestone using the most compact variety of CASTs.</w:t>
      </w:r>
    </w:p>
    <w:p>
      <w:pPr>
        <w:spacing w:after="0" w:line="99"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We are also developing systems based on recombinases and other mobile elements that can be used in combination with programmable nucleases, including catalytically dead variants, as well as with Little RIGS in order to affect large, targeted genomic integrations under circumstances where CASTs are not the ideal genome editing technology. Beyond therapeutic use, novel systems with these capabilities could enable synthetic biology, antibody discovery, functional genomics, animal model development, and various other unmet needs in the biotechnology space.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novel and engineered CASTs are capable of integrating large DNA cargo at a safe-harbor locus in the human genome</w:t>
      </w:r>
    </w:p>
    <w:p>
      <w:pPr>
        <w:spacing w:after="0" w:line="14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We have shown preclinical proof-of-capability for our CASTs by demonstrating targeted integration of a large DNA template in the genome of mammalian cells. Translation from bacteria to human cell editing required protein engineering to mitigate the complex coordination between multiple protein and nucleotide components. Figure 22 shows PCR-based confirmation achieved by detecting the junction between the donor DNA template and the target sequence in the genome of HEK293T cells. Targeted integration was achieved by delivering the CAST system as an all-in-one plasmid, while the DNA donor is delivered on a second plasmid. We believe the ability to target payloads to a single copy, safe-harbor locus now allows for further therapeutic-driven optimization and development.</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 xml:space="preserve">Figure 22. </w:t>
      </w:r>
      <w:r>
        <w:rPr>
          <w:rFonts w:ascii="Arial" w:cs="Arial" w:eastAsia="Arial" w:hAnsi="Arial"/>
          <w:sz w:val="17"/>
          <w:szCs w:val="17"/>
          <w:color w:val="auto"/>
        </w:rPr>
        <w:t>Our CASTs Demonstrated Targeted Integration of a DNA Template at a Safe-harbor Locus in the Genome of Mammalian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110490</wp:posOffset>
            </wp:positionV>
            <wp:extent cx="2777490" cy="22631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77749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40" w:hanging="324"/>
        <w:spacing w:after="0"/>
        <w:tabs>
          <w:tab w:leader="none" w:pos="4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PCR of junction between template and target confirms integration at target loci in HEK293T cells.</w:t>
      </w:r>
    </w:p>
    <w:p>
      <w:pPr>
        <w:spacing w:after="0" w:line="161" w:lineRule="exact"/>
        <w:rPr>
          <w:rFonts w:ascii="Arial" w:cs="Arial" w:eastAsia="Arial" w:hAnsi="Arial"/>
          <w:sz w:val="13"/>
          <w:szCs w:val="13"/>
          <w:color w:val="auto"/>
        </w:rPr>
      </w:pPr>
    </w:p>
    <w:p>
      <w:pPr>
        <w:ind w:left="440" w:hanging="324"/>
        <w:spacing w:after="0"/>
        <w:tabs>
          <w:tab w:leader="none" w:pos="4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Successful transposition is indicated by a band of the correct size in the gel in treated samples, but not in the null target (control) sample.</w:t>
      </w:r>
    </w:p>
    <w:p>
      <w:pPr>
        <w:spacing w:after="0" w:line="161" w:lineRule="exact"/>
        <w:rPr>
          <w:rFonts w:ascii="Arial" w:cs="Arial" w:eastAsia="Arial" w:hAnsi="Arial"/>
          <w:sz w:val="13"/>
          <w:szCs w:val="13"/>
          <w:color w:val="auto"/>
        </w:rPr>
      </w:pPr>
    </w:p>
    <w:p>
      <w:pPr>
        <w:ind w:left="440" w:hanging="324"/>
        <w:spacing w:after="0"/>
        <w:tabs>
          <w:tab w:leader="none" w:pos="4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Sequencing of PCR products from the junction between the template and target confirmed integration.</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Future Novel Editing System Discoveries</w:t>
      </w:r>
    </w:p>
    <w:p>
      <w:pPr>
        <w:spacing w:after="0" w:line="142"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color w:val="auto"/>
        </w:rPr>
        <w:t>Our scientific underpinnings based in metagenomics provides a continuous engine for discovering and developing potentially next generation, first-in-class genome editing systems. As we continue to build upon our metagenomic library, we expect to make additional discoveries of novel technology, and expand our toolbox to further unlock the field of genome editing.</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u w:val="single" w:color="auto"/>
          <w:color w:val="auto"/>
        </w:rPr>
        <w:t>Our Pipeline</w:t>
      </w:r>
    </w:p>
    <w:p>
      <w:pPr>
        <w:spacing w:after="0" w:line="148"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are taking a stepwise approach deploying our genome editing toolbox to develop potentially curative therapies for patients. Our lead programs are selected to both address important diseases and to establish new standards in targetability, precision, efficiency, and scope of editing capabilities. Figure 23 summarizes the portfolio of programs that we and our partners are advancing, as we aim to match the optimal genome editing tools for each indication. Each of these indications were chosen based on our conviction in the underlying biology, existence of validating preclinical and clinical data, availability of pharmacodynamic and translational tools to assess early proof-of-concept, relevant value-supporting outcome measures, and ongoing clinical unmet need. Our lead programs capture an ever-growing set of translational learnings and insights that will inform and accelerate future programs.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80"/>
          </w:cols>
          <w:pgMar w:left="320" w:top="455" w:right="4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Figure 23. </w:t>
      </w:r>
      <w:r>
        <w:rPr>
          <w:rFonts w:ascii="Arial" w:cs="Arial" w:eastAsia="Arial" w:hAnsi="Arial"/>
          <w:sz w:val="18"/>
          <w:szCs w:val="18"/>
          <w:color w:val="auto"/>
        </w:rPr>
        <w:t>Therapeutic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103505</wp:posOffset>
            </wp:positionV>
            <wp:extent cx="5203190" cy="2922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20319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right="4780"/>
        <w:spacing w:after="0" w:line="399" w:lineRule="auto"/>
        <w:rPr>
          <w:sz w:val="20"/>
          <w:szCs w:val="20"/>
          <w:color w:val="auto"/>
        </w:rPr>
      </w:pPr>
      <w:r>
        <w:rPr>
          <w:rFonts w:ascii="Arial" w:cs="Arial" w:eastAsia="Arial" w:hAnsi="Arial"/>
          <w:sz w:val="18"/>
          <w:szCs w:val="18"/>
          <w:u w:val="single" w:color="auto"/>
          <w:color w:val="auto"/>
        </w:rPr>
        <w:t xml:space="preserve">Hemophilia A—novel, durable, knock-in approach for expression of Factor VIII </w:t>
      </w:r>
      <w:r>
        <w:rPr>
          <w:rFonts w:ascii="Arial" w:cs="Arial" w:eastAsia="Arial" w:hAnsi="Arial"/>
          <w:sz w:val="18"/>
          <w:szCs w:val="18"/>
          <w:i w:val="1"/>
          <w:iCs w:val="1"/>
          <w:color w:val="auto"/>
        </w:rPr>
        <w:t>The Disease</w:t>
      </w:r>
    </w:p>
    <w:p>
      <w:pPr>
        <w:ind w:left="120" w:right="20"/>
        <w:spacing w:after="0"/>
        <w:rPr>
          <w:sz w:val="20"/>
          <w:szCs w:val="20"/>
          <w:color w:val="auto"/>
        </w:rPr>
      </w:pPr>
      <w:r>
        <w:rPr>
          <w:rFonts w:ascii="Arial" w:cs="Arial" w:eastAsia="Arial" w:hAnsi="Arial"/>
          <w:sz w:val="18"/>
          <w:szCs w:val="18"/>
          <w:color w:val="auto"/>
        </w:rPr>
        <w:t>Hemophilia A is the most common X-linked inherited bleeding disorder and is caused by mutations in the FVIII gene leading to loss of functional FVIII protein that impacts the body’s ability to form normal clots in response to injury. FVIII is normally produced in the liver within sinusoidal endothelial cells and is then secreted into the bloodstream where it acts as a cofactor for the catalytic activation of Factor X in the clotting pathway. The lack of functional FVIII disrupts the normal clotting cascade and predisposes patients to increased risk of bleeding, either spontaneously or in response to injury or surgery. Repeated bleeding episodes in joints or soft tissues can lead to progressive joint damage, inflammation, pain, and mobility impairment. Intracranial bleeding is of greatest concern as this can be rapidly fatal or lead to major morbidity.</w:t>
      </w:r>
    </w:p>
    <w:p>
      <w:pPr>
        <w:spacing w:after="0" w:line="117"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 severity of hemophilia A is directly correlated to the amount of residual FVIII activity. Severe hemophilia is defined as less than 1% of normal FVIII activity, moderate hemophilia defined as 1-5% of normal FVIII activity and mild hemophilia defined as 5 to 40% of normal FVIII activity. There are estimated to be nearly 30,000 patients with hemophilia A in the United States and more than 500,000 patients with hemophilia A globally. Of these, approximately 60% have severe disease and are at the greatest risk of spontaneous life-threatening bleeding events. In these patients, diagnosis typically occurs in infancy due to exaggerated bleeding in response to minor injury or routine medical procedures. As the inheritance of hemophilia A is X-linked, the vast majority of patients are male.</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Limitations of Current Approaches</w:t>
      </w:r>
    </w:p>
    <w:p>
      <w:pPr>
        <w:spacing w:after="0" w:line="142"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The standard of care for patients with severe hemophilia A involves life-long repeated IV infusions of recombinant FVIII preparations prophylactically and in response to bleeding events. The major limitation of this approach is fluctuating FVIII activity levels, with trough values that can still result in breakthrough microscopic and macroscopic bleeding events, particularly within sensitive and previously damaged joints. Additionally, frequent FVIII infusions are inconvenient, which can be associated with suboptimal compliance, and in some patients result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in inhibitor formation (antibodies against FVIII) that compromise efficacy. More recently, emicizumab, a bispecific antibody, has been approved for hemophilia A in the United States that acts as functional FVIII mimetic in binding Factors IXa and X to support catalytic activation. This antibody approach has the benefit of a longer half-life than typical recombinant FVIII protein infusions that allows for less frequent administration but has the drawback of not being a true FVIII protein replacement therapy and breakthrough bleeding has been reported. Both the bispecific antibody and FVIII protein replacement approaches have a high economic burden (estimated lifetime cost of $15 to 18 million per patient).</w:t>
      </w:r>
    </w:p>
    <w:p>
      <w:pPr>
        <w:spacing w:after="0" w:line="111"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Valoctocogene roxaparvovec, the first hemophilia A gene therapy, was conditionally approved for use in Europe in August 2022 and was approved in the United States in June 2023. This genetic medicine delivers a FVIII gene construct to the liver using an AAV vector. Once transduction of liver cells occurs, the FVIII gene resides in an episomal state (meaning not integrated in the genome) where it is transcribed from an artificial engineered exogenous promoter to produce FVIII mRNA which is translated into FVIII protein. This gene therapy approach has the potential benefit of constant production of FVIII protein by the liver; however, longitudinal clinical data has demonstrated that FVIII levels drop over time. To date, repeat dosing of a gene therapy has not been possible due to the production of high titers of neutralizing antibodies to the AAV vector. Importantly, AAV gene therapy is also not a feasible treatment approach for infants or children due to the high degree of liver growth during pre-adulthood that would dilute out the episomal FVIII gene during progressive rounds of liver cell division. Thus, there continues to be a significant unmet need in hemophilia A for a curative therapy that can provide life-long protection from bleeding events in adults and children.</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Approach and Results</w:t>
      </w:r>
    </w:p>
    <w:p>
      <w:pPr>
        <w:spacing w:after="0" w:line="142"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Experience with early hemophilia A gene therapy approaches suggest that morbidity and mortality from the disease can be markedly reduced by achieving only moderate amounts of stable FVIII expression. For instance, achieving stable FVIII activity above 5-10% of normal activity level has the potential to convert a patient with severe hemophilia at risk of catastrophic bleeding into a patient only at risk for bleeding in the setting of major trauma or surgery. Achieving stable levels of FVIII above 15% activity level could provide complete joint protection and may allow patients to have a functional cure from their disease.</w:t>
      </w:r>
    </w:p>
    <w:p>
      <w:pPr>
        <w:spacing w:after="0" w:line="109"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Rather than provide the FVIII gene in an episomal location, which risks dilution from cell division or cell death as well as episomal transcriptional silencing, our approach is to insert a FVIII DNA cassette into a “safe harbor location,” within an intron of the albumin gene that is not expected to have deleterious effects. FVIII expression is then driven by the strong native albumin promoter. This approach has previously been demonstrated in preclinical studies to lead to therapeutically relevant expression of a different clotting factor (Factor IX) with negligible impact to systemic circulating albumin levels. Our FVIII knock-in approach is designed to provide stable expression and clinically relevant circulating levels of FVIII, even at low integration rates because of the strength of the albumin promoter.</w:t>
      </w:r>
    </w:p>
    <w:p>
      <w:pPr>
        <w:spacing w:after="0" w:line="98"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Our approach is fundamentally different from the AAV gene therapy approaches. AAV gene therapy approaches use a viral vector to deliver a replacement FVIII gene driven off a non-natural promoter that exists in an episomal state (not integrated in the genome). This AAV FVIII gene therapy approach has been associated with the loss of FVIII expression over time in patients, a phenomenon hypothesized to be due to a combination of loss of the DNA encoding the FVIII gene (due to liver cell replication) and silencing of the episomal FVIII expression. Because our approach is designed to permanently integrate the FVIII gene into the genome of the patient, the FVIII gene should not be lost from the liver when the liver cells divide (because it is integrated in the genome and therefore transferred to the daughter cells during cell division), which may allow for a therapeutic option for children with hemophilia. Silencing of expression may be less likely to occur with our approach because we are using an endogenous albumin promoter rather than a synthetically designed promoter in a non-natural episomal state.</w:t>
      </w:r>
    </w:p>
    <w:p>
      <w:pPr>
        <w:spacing w:after="0" w:line="116"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color w:val="auto"/>
        </w:rPr>
        <w:t>As shown in Figure 24, our hemophilia A genome editing program has two components: a LNP component that is designed to deliver mRNA along with a gRNA to the liver to produce a highly efficient and specific nuclease to</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80"/>
          </w:cols>
          <w:pgMar w:left="320" w:top="455" w:right="4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6" w:lineRule="auto"/>
        <w:rPr>
          <w:sz w:val="20"/>
          <w:szCs w:val="20"/>
          <w:color w:val="auto"/>
        </w:rPr>
      </w:pPr>
      <w:r>
        <w:rPr>
          <w:rFonts w:ascii="Arial" w:cs="Arial" w:eastAsia="Arial" w:hAnsi="Arial"/>
          <w:sz w:val="17"/>
          <w:szCs w:val="17"/>
          <w:color w:val="auto"/>
        </w:rPr>
        <w:t>create a precise cut at the albumin safe harbor gene locus; and an AAV vector that is designed to deliver the donor template FVIII DNA that becomes inserted into the nuclease cut site by the naturally occurring DNA repair process called non-homologous end joining. The DNA template encodes a FVIII protein, and the sequence has been optimized to improve expression. In preclinical mouse models we have demonstrated that this FVIII knock-in approach leads to stable integration and clinically relevant circulating levels of FVIII.</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24. Therapeutic Approach to Hemophilia A Genome Editing.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103505</wp:posOffset>
            </wp:positionV>
            <wp:extent cx="4448810" cy="35229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448810" cy="352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have performed guide RNA screening in human and mouse cells to identify both candidate clinical guides and mouse surrogate guides. In the case of the human guide screen, a total of 77 guides for three of our nucleases were screened against albumin intron 1 in liver cell lines, and two guides (called guide 1 and guide 2) were selected as potential leads. Primary human hepatocytes (“PHH”) isolated from the livers of deceased individuals are the most appropriate preclinical model to evaluate human liver genome editing. Guide 1 and guide 2 displayed dose dependent editing in PHH with guide 2 exhibiting the highest potency (Figure 25). Genome editing nucleases can edit at sites other than the intended target site, an activity that is dependent on the specific nuclease and guide. Editing at non-target sites (called off-target editing) is undesirable due to the potential to cause damage to the host cell DNA (commonly called “genotoxicity”). We have analyzed off-target editing of guides 1 and 2 in PHH using an industry standard in-cell method that identifies potential off-target sites. Guide 2, the most potent guide that is being advanced to our next NHP study exhibited low off-target editing when evaluated by this in-cell oligo integration method with only two potential off-target sites detected at low frequencies of 0.07% of on target editing. Guide 1, that is less potent and remains as a backup, displayed a less favorable off-target profile when assayed by the oligo integration method with 1 potential off-target site detected at 5% of the on-target editing frequency. Both guides are being further evaluated using a combination of in silico prediction and biochemical assays to nominate potential off-target sites that will be tested in PHH to determine if any of these potential off-target sites are bona fide off-target sites.</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color w:val="auto"/>
        </w:rPr>
        <w:t>Figure 25</w:t>
      </w:r>
      <w:r>
        <w:rPr>
          <w:rFonts w:ascii="Arial" w:cs="Arial" w:eastAsia="Arial" w:hAnsi="Arial"/>
          <w:sz w:val="18"/>
          <w:szCs w:val="18"/>
          <w:color w:val="auto"/>
        </w:rPr>
        <w:t>. Editing at the Human Albumin Locus by Lead Nuclease and Guides in Primary Human Hepatocytes. Each Set of Four Bars is a</w:t>
      </w:r>
      <w:r>
        <w:rPr>
          <w:rFonts w:ascii="Arial" w:cs="Arial" w:eastAsia="Arial" w:hAnsi="Arial"/>
          <w:sz w:val="18"/>
          <w:szCs w:val="18"/>
          <w:b w:val="1"/>
          <w:bCs w:val="1"/>
          <w:color w:val="auto"/>
        </w:rPr>
        <w:t xml:space="preserve"> </w:t>
      </w:r>
      <w:r>
        <w:rPr>
          <w:rFonts w:ascii="Arial" w:cs="Arial" w:eastAsia="Arial" w:hAnsi="Arial"/>
          <w:sz w:val="18"/>
          <w:szCs w:val="18"/>
          <w:color w:val="auto"/>
        </w:rPr>
        <w:t>Dose Response (from High Dose to Low Dose Going from Left to Right) Performed at Three Different Molar Ratios of mRNA to gRNA.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66675</wp:posOffset>
            </wp:positionV>
            <wp:extent cx="3549015" cy="21259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54901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0" w:right="40" w:hanging="224"/>
        <w:spacing w:after="0" w:line="271"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set of four bars is a dose response (from high dose to low dose going from left to right) performed at three different molar ratios of mRNA to guide RNA</w:t>
      </w:r>
    </w:p>
    <w:p>
      <w:pPr>
        <w:spacing w:after="0" w:line="86" w:lineRule="exact"/>
        <w:rPr>
          <w:sz w:val="20"/>
          <w:szCs w:val="20"/>
          <w:color w:val="auto"/>
        </w:rPr>
      </w:pPr>
    </w:p>
    <w:p>
      <w:pPr>
        <w:ind w:left="120" w:right="100"/>
        <w:spacing w:after="0" w:line="259" w:lineRule="auto"/>
        <w:rPr>
          <w:sz w:val="20"/>
          <w:szCs w:val="20"/>
          <w:color w:val="auto"/>
        </w:rPr>
      </w:pPr>
      <w:r>
        <w:rPr>
          <w:rFonts w:ascii="Arial" w:cs="Arial" w:eastAsia="Arial" w:hAnsi="Arial"/>
          <w:sz w:val="17"/>
          <w:szCs w:val="17"/>
          <w:color w:val="auto"/>
        </w:rPr>
        <w:t>We have demonstrated the feasibility of the FVIII gene knock-in approach in mice with several mouse specific guides and different FVIII DNA donor cassettes as shown in Figure 26, with integration of the FVIII gene leading to FVIII mRNA expression and therapeutically relevant levels of FVIII protein in the blood. In these experiments, we quantified integration of the FVIII gene in the correct (forward) orientation at the target site in the albumin locus at frequencies between 1% to 2%. In the same mice, we measured FVIII protein in the blood at levels of 5-10% of normal, levels that would be sufficient to prevent the majority of bleeding events in hemophilia patients. Efforts to further optimize the DNA donor cassette to potentially achieve even higher levels of FVIII protein per integrated copy are ongoing.</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26</w:t>
      </w:r>
      <w:r>
        <w:rPr>
          <w:rFonts w:ascii="Arial" w:cs="Arial" w:eastAsia="Arial" w:hAnsi="Arial"/>
          <w:sz w:val="18"/>
          <w:szCs w:val="18"/>
          <w:color w:val="auto"/>
        </w:rPr>
        <w:t>. Integration and Expression of FVIII in Rodents after Genome Editing.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103505</wp:posOffset>
            </wp:positionV>
            <wp:extent cx="3728720" cy="20828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72872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editing efficiency of the two lead gRNA sequences (guide 1 and guide 2) were evaluated in non-human primates (“NHPs”). Guide 1 is a perfect match to the target sequence in the NHP genome while guide 2 required a single nucleotide change in the spacer to match perfectly to the target sequence in NHPs. The same nuclease mRNA sequence was used with both guides and the guide and mRNA were co-delivered with the same LNP formulation by IV infusion of three cynomolgus macaques per group at a dose of 1.25 mg RNA per kg body weight. The editing efficiency in five different regions of the liver (representing the different liver lobes) were measured by determining the InDels at the target site using next generation sequencing in each of the three animals per treatment group as shown in Figure 27. Editing levels were similar across the five liver regions (represented by the five dots in each bar) demonstrating that editing was homogenous across the entire liver. Guide 2 resulted in a mean editing efficiency of 50% amongst the three animals. This represents editing in approximately 70% of hepatocytes because hepatocytes make up about 70% of the cells in the liver and the LNP delivers primarily to hepatocytes. Based on our mouse studies, we expect that this level of editing may be sufficient to achieve the required level of donor template DNA integration. Because InDel formation in the albumin safe harbor locus occurs within the non-coding intron these high levels of editing do not result in measurable changes in circulating albumin levels in edited mice.</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27</w:t>
      </w:r>
      <w:r>
        <w:rPr>
          <w:rFonts w:ascii="Arial" w:cs="Arial" w:eastAsia="Arial" w:hAnsi="Arial"/>
          <w:sz w:val="18"/>
          <w:szCs w:val="18"/>
          <w:color w:val="auto"/>
        </w:rPr>
        <w:t>. Efficient Editing in NHPs at the Safe Harbor Locus for the Hemophilia A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103505</wp:posOffset>
            </wp:positionV>
            <wp:extent cx="2442845" cy="17316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44284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Each bar is an animal and each datapoint represents a different lobe of the liver.</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Next Steps</w:t>
      </w:r>
    </w:p>
    <w:p>
      <w:pPr>
        <w:spacing w:after="0" w:line="142"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We are finalizing donor DNA cassette optimization and performing our next set of NHP studies to demonstrate and quantify FVIII integration and FVIII protein expression. In parallel, we are manufacturing mRNA, gRNA, AAV and LNP to support future IND-enabling studies. We expect to select a final development candidate in the first half of 2024 and initiate IND-enabling GLP studies thereafter. The progress we have made on this program not only validates the efficiency and specificity of our novel nucleases in rodent and NHP models, but also supports our ongoing efforts with other large gene integration approaches.</w:t>
      </w:r>
    </w:p>
    <w:p>
      <w:pPr>
        <w:spacing w:after="0" w:line="244" w:lineRule="exact"/>
        <w:rPr>
          <w:sz w:val="20"/>
          <w:szCs w:val="20"/>
          <w:color w:val="auto"/>
        </w:rPr>
      </w:pPr>
    </w:p>
    <w:p>
      <w:pPr>
        <w:ind w:left="120" w:right="3480"/>
        <w:spacing w:after="0" w:line="406" w:lineRule="auto"/>
        <w:rPr>
          <w:sz w:val="20"/>
          <w:szCs w:val="20"/>
          <w:color w:val="auto"/>
        </w:rPr>
      </w:pPr>
      <w:r>
        <w:rPr>
          <w:rFonts w:ascii="Arial" w:cs="Arial" w:eastAsia="Arial" w:hAnsi="Arial"/>
          <w:sz w:val="18"/>
          <w:szCs w:val="18"/>
          <w:color w:val="auto"/>
        </w:rPr>
        <w:t xml:space="preserve">Primary Hyperoxaluria, Type 1—a durable knockdown of HAO1 for substrate reduction therapy </w:t>
      </w:r>
      <w:r>
        <w:rPr>
          <w:rFonts w:ascii="Arial" w:cs="Arial" w:eastAsia="Arial" w:hAnsi="Arial"/>
          <w:sz w:val="18"/>
          <w:szCs w:val="18"/>
          <w:i w:val="1"/>
          <w:iCs w:val="1"/>
          <w:color w:val="auto"/>
        </w:rPr>
        <w:t>The Disease</w:t>
      </w:r>
    </w:p>
    <w:p>
      <w:pPr>
        <w:spacing w:after="0" w:line="2"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PH1 is a rare autosomal recessive metabolic disease arising from loss of function mutations in the AGXT gene that encodes alanine glyoxylate aminotransferase. This enzyme is found in peroxisomes of the liver where it catalyzes the conversion of glyoxylate to glycine and pyruvate. Lack of functional AGXT leads to an accumulation of glyoxylate substrate, which is then converted to oxalate and excreted in the kidney. The excess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spacing w:after="0" w:line="253" w:lineRule="auto"/>
        <w:rPr>
          <w:sz w:val="20"/>
          <w:szCs w:val="20"/>
          <w:color w:val="auto"/>
        </w:rPr>
      </w:pPr>
      <w:r>
        <w:rPr>
          <w:rFonts w:ascii="Arial" w:cs="Arial" w:eastAsia="Arial" w:hAnsi="Arial"/>
          <w:sz w:val="18"/>
          <w:szCs w:val="18"/>
          <w:color w:val="auto"/>
        </w:rPr>
        <w:t>urinary oxalate forms an insoluble complex with urinary calcium that leads to the production of calcium oxalate crystal precipitates. This pathologic process results in the formation of repeated calcium oxalate urolithiasis and nephrolithiasis, which in turn leads to obstructive uropathy, inflammation, fibrosis, tubular toxicity, and progressive loss of kidney function.</w:t>
      </w:r>
    </w:p>
    <w:p>
      <w:pPr>
        <w:spacing w:after="0" w:line="101" w:lineRule="exact"/>
        <w:rPr>
          <w:sz w:val="20"/>
          <w:szCs w:val="20"/>
          <w:color w:val="auto"/>
        </w:rPr>
      </w:pPr>
    </w:p>
    <w:p>
      <w:pPr>
        <w:ind w:left="120" w:right="180"/>
        <w:spacing w:after="0" w:line="244" w:lineRule="auto"/>
        <w:rPr>
          <w:sz w:val="20"/>
          <w:szCs w:val="20"/>
          <w:color w:val="auto"/>
        </w:rPr>
      </w:pPr>
      <w:r>
        <w:rPr>
          <w:rFonts w:ascii="Arial" w:cs="Arial" w:eastAsia="Arial" w:hAnsi="Arial"/>
          <w:sz w:val="18"/>
          <w:szCs w:val="18"/>
          <w:color w:val="auto"/>
        </w:rPr>
        <w:t>PH1 is a serious disease that causes kidney failure. More than 70% of individuals with PH1 mutations will develop end-stage renal disease, with a median age in young adulthood. Patients with PH1 continue to experience morbidity and mortality even after the development of end-stage renal disease due to progressive systemic calcium oxalate precipitation in various organs (systemic oxalosis). Despite renal replacement therapy or kidney transplantation, patients with PH1 have an overall shorter lifespan than patients with other causes of renal failure, highlighting the progressive and severe nature of this metabolic disease.</w:t>
      </w:r>
    </w:p>
    <w:p>
      <w:pPr>
        <w:spacing w:after="0" w:line="1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PH1 is the most common of the primary hyperoxalurias but is a rare disease with an estimated prevalence of approximately one to three in 1,000,000 individuals. While epidemiologic data on PH1 is limited, these estimates suggest there are approximately 1,000 to 3,000 patients in both the United States and Europe, and possibly up to 20,000 patients globally.</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Limitations of Current Approaches</w:t>
      </w:r>
    </w:p>
    <w:p>
      <w:pPr>
        <w:spacing w:after="0" w:line="142"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Until recently, the standard of care for treating PH1 was primarily supportive in nature, with hydration and diuretics used to reduce urinary oxalate concentration, pyridoxine (vitamin B6) to enhance residual function of alanine glyoxylate aminotransferase catalytic activity, and hemodialysis once renal function progressed to end stage. Liver transplantation has also been explored as a means of providing patients with a normal copy of AGXT and has been used alone in early-stage patients or as a combined liver-kidney transplant in more advanced patients. Transplantation approaches have limitations due to donor availability, morbidity associated with the surgical procedure, and lifelong immunosuppression required to inhibit graft rejection.</w:t>
      </w:r>
    </w:p>
    <w:p>
      <w:pPr>
        <w:spacing w:after="0" w:line="98"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More recently, the standard of care has been updated to include treatment with lumasiran, a siRNA therapeutic approved in adults and children with PH1 that acts to reduce the levels of urinary oxalate. Using a therapeutic approach known as substrate reduction therapy, lumasiran targets mRNA from a separate gene, HAO1, that encodes GO. By inhibiting GO, levels of glyoxylate are reduced, which results in reduced downstream levels of oxalate. As a result, lower urinary oxalate results in decreased urinary calcium oxalate stone formation. It is anticipated that inhibition of renal oxalate accumulation and stone formation can slow or prevent continued loss of renal function. Lumasiran has been generally well tolerated in clinical studies of adults and children with PH1 but it requires repeat subcutaneous administration indefinitely in order to maintain its effect. In addition, injection site reactions are common among patients taking lumasiran and the degree of urinary oxalate reduction has been observed to not reach normal levels in many patients. Thus, there is a potential to improve clinical outcomes for PH1 patients with a one-time administration of a therapy that inhibits urinary oxalate accumulation, prevents calcium oxalate stone formation, and protects renal function.</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Approach and Results</w:t>
      </w:r>
    </w:p>
    <w:p>
      <w:pPr>
        <w:spacing w:after="0" w:line="129"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The goal of our genome editing approach is to durably knock down HAO1 resulting in stable and permanent reduction of oxalate levels to effect a lifelong benefit. We plan to deliver mRNA for one of our lead nucleases and a guide encapsulated within a single LNP as shown in Figure 28 below. We expect the mRNA and HAO1 gRNA will be released in hepatocytes (the cell type in the liver that expresses the HAO1 gene) where the mRNA will be expressed into the nuclease that forms a complex with the guide and create a double stranded break in the HAO1 gene and inhibits gene expression.</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28</w:t>
      </w:r>
      <w:r>
        <w:rPr>
          <w:rFonts w:ascii="Arial" w:cs="Arial" w:eastAsia="Arial" w:hAnsi="Arial"/>
          <w:sz w:val="18"/>
          <w:szCs w:val="18"/>
          <w:color w:val="auto"/>
        </w:rPr>
        <w:t>. Genome Editing Strategy for Targeting HAO1.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103505</wp:posOffset>
            </wp:positionV>
            <wp:extent cx="4612005" cy="36347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61200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8"/>
          <w:szCs w:val="18"/>
          <w:color w:val="auto"/>
        </w:rPr>
        <w:t>The safety of this durable knock-down of HAO1 is supported by human genetic observations of an individual lacking a functional copy of the HAO1 gene with no evidence of a pathologic phenotype. The safety of this approach is also supported by up to three years of clinical data using a siRNA approach to silence this gene.</w:t>
      </w:r>
    </w:p>
    <w:p>
      <w:pPr>
        <w:spacing w:after="0" w:line="10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 xml:space="preserve">We have performed nuclease and guide screening to select an optimal nuclease and gRNA combination. The double strand break created by the selected nuclease has been observed to be efficiently and rapidly repaired by the cell via a process that introduces small InDels to the sequence at the target site. When these InDels alter the reading frame of the gene (so called “out of frame” InDels) this results in degradation of the HAO1 mRNA. Because different nucleases and guides generate distinct InDel profiles, we included analysis of the InDel profile as a selection criterion during our nuclease /gRNA screen. In addition to the InDel profile, we also screened for the efficiency of HAO1 mRNA reduction and impact on the HAO1 mRNA sequences using whole transcriptome RNA sequencing (“RNAseq”). This screening process resulted in selection of a lead guide that targets an identical sequence in humans and mice which enables the evaluation of the lead human guide in mouse models. The potency of this lead nuclease and guide was tested in PHH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 shown in Figure 29, demonstrating dose-dependent editing when delivered by a LNP with tropism to the liver. Preliminary evaluation of off-target editing in primary human hepatocytes using industry standard approaches has shown minimal off-target events. No editing was observed at selected potential off-target sites in PHH that were edited at a dose of nuclease and guide that resulted in maximal on-target editing. Three off-target edits were observed but only at doses more than 20-fold higher than the dose that resulted in maximal on-target editing. In addition, these three off-target sites were edited at low frequency (less than 1% of on-target editing) and were located in non-coding regions of the genome that we believe pose minimal concern. Additional off-target evaluation is planned prior to development candidate nomination.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color w:val="auto"/>
        </w:rPr>
        <w:t>Figure 29</w:t>
      </w:r>
      <w:r>
        <w:rPr>
          <w:rFonts w:ascii="Arial" w:cs="Arial" w:eastAsia="Arial" w:hAnsi="Arial"/>
          <w:sz w:val="18"/>
          <w:szCs w:val="18"/>
          <w:color w:val="auto"/>
        </w:rPr>
        <w:t>. Editing Dose Response in Primary Human Hepatocytes with the Lead Nuclease mRNA and Guide Targeting HAO1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in a LNP.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66675</wp:posOffset>
            </wp:positionV>
            <wp:extent cx="2597150" cy="18688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9715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In normal mice we have demonstrated dose dependent saturating levels of hepatocyte genome editing of HAO1 and up to 90% reduction of target GO protein, providing strong preclinical proof-of-concept as shown in Figure 30.</w:t>
      </w:r>
    </w:p>
    <w:p>
      <w:pPr>
        <w:spacing w:after="0" w:line="86"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b w:val="1"/>
          <w:bCs w:val="1"/>
          <w:color w:val="auto"/>
        </w:rPr>
        <w:t>Figure 30</w:t>
      </w:r>
      <w:r>
        <w:rPr>
          <w:rFonts w:ascii="Arial" w:cs="Arial" w:eastAsia="Arial" w:hAnsi="Arial"/>
          <w:sz w:val="18"/>
          <w:szCs w:val="18"/>
          <w:color w:val="auto"/>
        </w:rPr>
        <w:t>. Dose Dependent Editing, mRNA Knockdown and Protein Knockdown of HAO1 in Normal Mice after a Single Administration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Lead Nuclease mRNA and Lead Guide Encapsulated in a LNP with Tropism to the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66675</wp:posOffset>
            </wp:positionV>
            <wp:extent cx="3566160" cy="23056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56616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Additionally, along with our partner Moderna, we have achieved preclinical proof-of-concept in an AGXT knock-out mouse which is an accepted disease model of PH1 (Figure 31). AGXT knock-out mice have elevated oxalate in the urine (measured with a mass spec assay) of about 500 mg per gram of creatinine compared to about 190 mg per gram of creatinine in mice of the same strain (BL/6) with a wild type AGXT genotype. Cohorts of male and female mice were given a single administration of the lead nuclease mRNA and gRNA encapsulated in a LNP with tropism to the liver. Dose dependent editing at the target site in HAO1 in the liver was measured at the end of this study (when the mice were sacrificed). As a control a Cas9 mRNA and a potent Cas9 guide targeting HAO1 from a published source were also packaged in the LNP with tropism to the liver and tested at a single dose. The editing of HAO1 had the expected effect of dose dependently reducing urinary oxalate, with the highest dose achieving oxalate levels compared to that of wild type mice.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 xml:space="preserve">Figure 31. </w:t>
      </w:r>
      <w:r>
        <w:rPr>
          <w:rFonts w:ascii="Arial" w:cs="Arial" w:eastAsia="Arial" w:hAnsi="Arial"/>
          <w:sz w:val="17"/>
          <w:szCs w:val="17"/>
          <w:color w:val="auto"/>
        </w:rPr>
        <w:t>Preclinical Proof of Concept in PH1 Disease Model (AGXT -/- mice).</w:t>
      </w:r>
    </w:p>
    <w:p>
      <w:pPr>
        <w:sectPr>
          <w:pgSz w:w="11900" w:h="16838" w:orient="portrait"/>
          <w:cols w:equalWidth="0" w:num="1">
            <w:col w:w="11120"/>
          </w:cols>
          <w:pgMar w:left="320" w:top="455" w:right="459" w:bottom="1440" w:gutter="0" w:footer="0" w:header="0"/>
        </w:sectPr>
      </w:pPr>
    </w:p>
    <w:p>
      <w:pPr>
        <w:spacing w:after="0" w:line="156"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color w:val="auto"/>
        </w:rPr>
        <w:t xml:space="preserve">Figure 31a. </w:t>
      </w:r>
      <w:r>
        <w:rPr>
          <w:rFonts w:ascii="Arial" w:cs="Arial" w:eastAsia="Arial" w:hAnsi="Arial"/>
          <w:sz w:val="18"/>
          <w:szCs w:val="18"/>
          <w:color w:val="auto"/>
        </w:rPr>
        <w:t>Dose dependent editing of the HAO1 gene in</w:t>
      </w:r>
      <w:r>
        <w:rPr>
          <w:rFonts w:ascii="Arial" w:cs="Arial" w:eastAsia="Arial" w:hAnsi="Arial"/>
          <w:sz w:val="18"/>
          <w:szCs w:val="18"/>
          <w:b w:val="1"/>
          <w:bCs w:val="1"/>
          <w:color w:val="auto"/>
        </w:rPr>
        <w:t xml:space="preserve"> </w:t>
      </w:r>
      <w:r>
        <w:rPr>
          <w:rFonts w:ascii="Arial" w:cs="Arial" w:eastAsia="Arial" w:hAnsi="Arial"/>
          <w:sz w:val="18"/>
          <w:szCs w:val="18"/>
          <w:color w:val="auto"/>
        </w:rPr>
        <w:t>AGXT -/-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109220</wp:posOffset>
            </wp:positionV>
            <wp:extent cx="1688465" cy="14744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688465" cy="1474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color w:val="auto"/>
        </w:rPr>
        <w:t xml:space="preserve">Figure 31b. </w:t>
      </w:r>
      <w:r>
        <w:rPr>
          <w:rFonts w:ascii="Arial" w:cs="Arial" w:eastAsia="Arial" w:hAnsi="Arial"/>
          <w:sz w:val="18"/>
          <w:szCs w:val="18"/>
          <w:color w:val="auto"/>
        </w:rPr>
        <w:t>Dose-dependent reduction in urinary oxalate reaching</w:t>
      </w:r>
      <w:r>
        <w:rPr>
          <w:rFonts w:ascii="Arial" w:cs="Arial" w:eastAsia="Arial" w:hAnsi="Arial"/>
          <w:sz w:val="18"/>
          <w:szCs w:val="18"/>
          <w:b w:val="1"/>
          <w:bCs w:val="1"/>
          <w:color w:val="auto"/>
        </w:rPr>
        <w:t xml:space="preserve"> </w:t>
      </w:r>
      <w:r>
        <w:rPr>
          <w:rFonts w:ascii="Arial" w:cs="Arial" w:eastAsia="Arial" w:hAnsi="Arial"/>
          <w:sz w:val="18"/>
          <w:szCs w:val="18"/>
          <w:color w:val="auto"/>
        </w:rPr>
        <w:t>normalization at highest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2811780" cy="15773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811780" cy="1577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00" w:space="380"/>
            <w:col w:w="6040"/>
          </w:cols>
          <w:pgMar w:left="320" w:top="455"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tabs>
          <w:tab w:leader="none" w:pos="5060" w:val="left"/>
        </w:tabs>
        <w:rPr>
          <w:sz w:val="20"/>
          <w:szCs w:val="20"/>
          <w:color w:val="auto"/>
        </w:rPr>
      </w:pPr>
      <w:r>
        <w:rPr>
          <w:rFonts w:ascii="Arial" w:cs="Arial" w:eastAsia="Arial" w:hAnsi="Arial"/>
          <w:sz w:val="14"/>
          <w:szCs w:val="14"/>
          <w:color w:val="auto"/>
        </w:rPr>
        <w:t>Source: Moderna</w:t>
      </w:r>
      <w:r>
        <w:rPr>
          <w:sz w:val="20"/>
          <w:szCs w:val="20"/>
          <w:color w:val="auto"/>
        </w:rPr>
        <w:tab/>
      </w:r>
      <w:r>
        <w:rPr>
          <w:rFonts w:ascii="Arial" w:cs="Arial" w:eastAsia="Arial" w:hAnsi="Arial"/>
          <w:sz w:val="14"/>
          <w:szCs w:val="14"/>
          <w:color w:val="auto"/>
        </w:rPr>
        <w:t>Source: Moderna</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durability of this approach was demonstrated by continued knockdown of GO protein even after partial hepatectomy (removal of about two thirds of the liver) and rapid liver re-growth (Figure 32). In this study wild type mice were given a single injection of either buffer or a liver tropic LNP encapsulating the MG nuclease mRNA and the lead gRNA targeting HAO1. Eight days after dosing a liver hepatectomy was performed in which about two thirds of the liver was removed. This stimulates the majority of the remaining liver cells to enter cell division and results in rapid re-growth of the liver that restores the normal liver size within 7 to 10 days. Eight days after partial hepatectomy the levels of GO protein (the product of the HAO1 gene) in the liver were reduced by more than 90%, the same as the level of knockdown in edited mice that did not undergo hepatectomy. This result demonstrates that the knock down of HAO1 expression was not compromised by extensive liver growth and that the fitness of edited hepatocytes was not impacted by editing.</w:t>
      </w:r>
    </w:p>
    <w:p>
      <w:pPr>
        <w:spacing w:after="0" w:line="113"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color w:val="auto"/>
        </w:rPr>
        <w:t xml:space="preserve">Figure 32. </w:t>
      </w:r>
      <w:r>
        <w:rPr>
          <w:rFonts w:ascii="Arial" w:cs="Arial" w:eastAsia="Arial" w:hAnsi="Arial"/>
          <w:sz w:val="18"/>
          <w:szCs w:val="18"/>
          <w:color w:val="auto"/>
        </w:rPr>
        <w:t>Knockdown of the Protein Encoded by HAO1 after HAO1 Gene Editing was Maintained Following Partial Hepatectomy.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Mice were Injected with Buffer as a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66675</wp:posOffset>
            </wp:positionV>
            <wp:extent cx="2125980" cy="25203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2598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Source: Moderna</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5" w:right="45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Next Steps</w:t>
      </w:r>
    </w:p>
    <w:p>
      <w:pPr>
        <w:spacing w:after="0" w:line="14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We are in the final stages of confirming the candidate to take into NHP studies and are scheduled to begin NHP studies in 2023 to support final development candidate selection thereafter.</w:t>
      </w:r>
    </w:p>
    <w:p>
      <w:pPr>
        <w:spacing w:after="0" w:line="86"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 xml:space="preserve">This program is partnered with Moderna for both development and commercialization. The partnership enables us to leverage Moderna’s deep expertise in mRNA and LNP technology to ensure efficient delivery of our nuclease to hepatocytes. In turn, we provide the novel programmable nuclease and guide chemistry to support precise targeting of the HAO1 gene. In addition to further validating our therapeutic platform, to the best of our knowledge this program represents the first time a type V nuclease is being developed for a therapeutic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genome editing approach.</w:t>
      </w:r>
    </w:p>
    <w:p>
      <w:pPr>
        <w:spacing w:after="0" w:line="244" w:lineRule="exact"/>
        <w:rPr>
          <w:sz w:val="20"/>
          <w:szCs w:val="20"/>
          <w:color w:val="auto"/>
        </w:rPr>
      </w:pPr>
    </w:p>
    <w:p>
      <w:pPr>
        <w:ind w:left="120" w:right="4600" w:firstLine="4"/>
        <w:spacing w:after="0" w:line="399" w:lineRule="auto"/>
        <w:rPr>
          <w:sz w:val="20"/>
          <w:szCs w:val="20"/>
          <w:color w:val="auto"/>
        </w:rPr>
      </w:pPr>
      <w:r>
        <w:rPr>
          <w:rFonts w:ascii="Arial" w:cs="Arial" w:eastAsia="Arial" w:hAnsi="Arial"/>
          <w:sz w:val="18"/>
          <w:szCs w:val="18"/>
          <w:u w:val="single" w:color="auto"/>
          <w:color w:val="auto"/>
        </w:rPr>
        <w:t xml:space="preserve">Transthyretin Amyloidosis—a single treatment to eliminate TTR gene expression </w:t>
      </w:r>
      <w:r>
        <w:rPr>
          <w:rFonts w:ascii="Arial" w:cs="Arial" w:eastAsia="Arial" w:hAnsi="Arial"/>
          <w:sz w:val="18"/>
          <w:szCs w:val="18"/>
          <w:i w:val="1"/>
          <w:iCs w:val="1"/>
          <w:color w:val="auto"/>
        </w:rPr>
        <w:t>The Disease</w:t>
      </w:r>
    </w:p>
    <w:p>
      <w:pPr>
        <w:ind w:left="120"/>
        <w:spacing w:after="0" w:line="238" w:lineRule="auto"/>
        <w:rPr>
          <w:sz w:val="20"/>
          <w:szCs w:val="20"/>
          <w:color w:val="auto"/>
        </w:rPr>
      </w:pPr>
      <w:r>
        <w:rPr>
          <w:rFonts w:ascii="Arial" w:cs="Arial" w:eastAsia="Arial" w:hAnsi="Arial"/>
          <w:sz w:val="18"/>
          <w:szCs w:val="18"/>
          <w:color w:val="auto"/>
        </w:rPr>
        <w:t>Transthyretin amyloidosis is a disease of misfolded and aggregated TTR protein that can deposit in tissues causing organ dysfunction, primarily in the heart and/or peripheral nerves. The TTR protein is normally produced in the liver and circulates in a homotetramer (four copies of the same TTR protein bound together) where it serves as a carrier protein for vitamin A and thyroxine. Certain mutations have been identified that can cause TTR homotetramers to fall apart, misfold, and aggregate into insoluble fibrils that deposit in cardiac tissue and peripheral nerves. However, more commonly, the normal aging process is associated with an increased propensity for TTR misfolding and aggregation in the heart without any known genetic sequence variation. These distinctions lead to TTR amyloidosis being characterized as either hATTR caused by mutations in TTR, or ATTRwt. It is estimated that globally there are approximately 50,000 patients with hATTR and between 300,000 and 500,000 patients with ATTRwt. Among the larger ATTRwt patient population, the most common presentation is a rapidly progressive, restrictive, and hypertrophic cardiomyopathy due to progressive deposition of insoluble TTR fibrils, which result in thickening of the myocardium and stiffening of the ventricles. These pathologic processes lead to impaired diastolic function and progressive cardiomyopathy that typically leads to progressive heart failure and often death within three to five years from disease onset. Although cardiac manifestations are more common and severe, patients with neurologic manifestations also experience significant morbidity, loss of functionality, and impaired quality of life.</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Limitations of Current Approaches</w:t>
      </w:r>
    </w:p>
    <w:p>
      <w:pPr>
        <w:spacing w:after="0" w:line="142"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To date, treatment options for patients with TTR amyloidosis, including those with either cardiomyopathy or polyneuropathy manifestations, consist of efforts to stabilize the TTR tetramer with a small molecule (tafamadis) or knock down TTR levels through antisense oligonucleotides (i.e., inotersen and eplontersen which is currently under regulatory review in the U.S.) or siRNA strategies (i.e., patisiran and vutrisiran).</w:t>
      </w:r>
    </w:p>
    <w:p>
      <w:pPr>
        <w:spacing w:after="0" w:line="9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Tafamadis was studied in a randomized trial of patients with either hATTR and ATTRwt cardiomyopathy and demonstrated reductions in all-cause mortality and cardiovascular-related hospitalizations and reduced the decline in quality of life and functional capacity over 30 months compared to placebo. Tafamadis is currently approved to treat patients with ATTR cardiomyopathy in the U.S. and patients with hATTR and ATTR cardiomyopathy in the EU and in other parts of the world. Inotersen has demonstrated benefit in patients with hATTR and polyneuropathy and is approved in the U.S., EU, and in other parts of the world. Eplontersen has demonstrated benefit in patients with hATTR and polyneuropathy and is currently under regulatory review in the U.S. Eplontersen is also being studied in a Phase 3 trial for patients with ATTR cardiomyopathy. Patisiran is approved for the treatment of polyneuropathy of hATTR in adults in the U.S., EU, and other parts of the world. Patisiran is currently under regulatory review for the treatment of patients with ATTR cardiomyopathy based on a randomized study demonstrating improvement in the 6-Minute Walk Test and quality of life over 12 months compared to placebo. Vutrisiran has demonstrated benefit in patients with hATTR and polyneuropathy and is approved for use in hATTR in the U.S, EU, and other parts of the world. Although these approaches have improved clinical outcomes for patients with TTR amyloidosis, the disease is still associated with significant morbidity and mortality and requires lifelong therapy to maintain therapeutic benefit.</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Approach/Next Steps</w:t>
      </w:r>
    </w:p>
    <w:p>
      <w:pPr>
        <w:spacing w:after="0" w:line="14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More recently, early-stage third-party studies have demonstrated the feasibility of knocking down TTR (wild type or mutated versions) using a CRISPR based genome editing approach in a small number of patients. Clinical validation of this TTR knockdown approach is provided by antisense and siRNA clinical experience and further suggests the potential longer-term safety and tolerability of this approach.</w:t>
      </w:r>
    </w:p>
    <w:p>
      <w:pPr>
        <w:spacing w:after="0" w:line="84" w:lineRule="exact"/>
        <w:rPr>
          <w:sz w:val="20"/>
          <w:szCs w:val="20"/>
          <w:color w:val="auto"/>
        </w:rPr>
      </w:pPr>
    </w:p>
    <w:p>
      <w:pPr>
        <w:ind w:left="120" w:right="140"/>
        <w:spacing w:after="0" w:line="266" w:lineRule="auto"/>
        <w:rPr>
          <w:sz w:val="20"/>
          <w:szCs w:val="20"/>
          <w:color w:val="auto"/>
        </w:rPr>
      </w:pPr>
      <w:r>
        <w:rPr>
          <w:rFonts w:ascii="Arial" w:cs="Arial" w:eastAsia="Arial" w:hAnsi="Arial"/>
          <w:sz w:val="17"/>
          <w:szCs w:val="17"/>
          <w:color w:val="auto"/>
        </w:rPr>
        <w:t xml:space="preserve">Using our novel nucleases, we aim to provide efficient TTR knockdown and halt further deposition of amyloid fibrils. Previous experience suggests a clinical correlation between the degree of TTR knockdown and potential for benefit in familial forms of the disease, which are expected to translate similarly to wild type forms. The high degree of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editing efficiency and specificity of our nuclease platform suggest the potential for a single treatment to eliminate TTR gene expression and remove the requirement for life-long therapy.</w:t>
      </w:r>
    </w:p>
    <w:p>
      <w:pPr>
        <w:spacing w:after="0" w:line="78"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Along with our partner Ionis, we are currently in advanced stages of nuclease and guide selection and expect to move into NHP studies in 2024. We believe one of the strengths of our technology platform is applying our multiple nucleases that have distinct non-overlapping PAMs to create a larger number of guides for a given target. Starting with a larger number of guides should increase the chance of finding highly active and specific guides/nuclease combinations. Leveraging multiple nucleases with a diversity of PAMs enabled a high targeting density for the TTR gene as illustrated in Figure 33a. By comparison significantly fewer (3.8-fold fewer) guides are available when using SpCas9 (Figure 33b). We have screened more than 500 guides against the human TTR gene using six of our nucleases. With one additional nuclease in progress we will ultimately have screened 535 guides. Our high throughput screening platform has enabled us to screen approximately 500 guides in a four-month time span.</w:t>
      </w:r>
    </w:p>
    <w:p>
      <w:pPr>
        <w:spacing w:after="0" w:line="113"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b w:val="1"/>
          <w:bCs w:val="1"/>
          <w:color w:val="auto"/>
        </w:rPr>
        <w:t>Figure 33a</w:t>
      </w:r>
      <w:r>
        <w:rPr>
          <w:rFonts w:ascii="Arial" w:cs="Arial" w:eastAsia="Arial" w:hAnsi="Arial"/>
          <w:sz w:val="18"/>
          <w:szCs w:val="18"/>
          <w:color w:val="auto"/>
        </w:rPr>
        <w:t>. High density of gRNA targeting the coding and regulatory regions of the TTR gene enabled by our platform of nucleases with</w:t>
      </w:r>
      <w:r>
        <w:rPr>
          <w:rFonts w:ascii="Arial" w:cs="Arial" w:eastAsia="Arial" w:hAnsi="Arial"/>
          <w:sz w:val="18"/>
          <w:szCs w:val="18"/>
          <w:b w:val="1"/>
          <w:bCs w:val="1"/>
          <w:color w:val="auto"/>
        </w:rPr>
        <w:t xml:space="preserve"> </w:t>
      </w:r>
      <w:r>
        <w:rPr>
          <w:rFonts w:ascii="Arial" w:cs="Arial" w:eastAsia="Arial" w:hAnsi="Arial"/>
          <w:sz w:val="18"/>
          <w:szCs w:val="18"/>
          <w:color w:val="auto"/>
        </w:rPr>
        <w:t>diverse PAMs.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66675</wp:posOffset>
            </wp:positionV>
            <wp:extent cx="4457700" cy="19373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45770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00"/>
          </w:cols>
          <w:pgMar w:left="320" w:top="455" w:right="4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33b</w:t>
      </w:r>
      <w:r>
        <w:rPr>
          <w:rFonts w:ascii="Arial" w:cs="Arial" w:eastAsia="Arial" w:hAnsi="Arial"/>
          <w:sz w:val="18"/>
          <w:szCs w:val="18"/>
          <w:color w:val="auto"/>
        </w:rPr>
        <w:t>. Density of SpCas9 gRNA targeting the coding and regulatory regions of the TTR 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103505</wp:posOffset>
            </wp:positionV>
            <wp:extent cx="4612005" cy="20059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61200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We are in the process of selecting lead guides and nucleases for evaluation in mouse models that carry the human TTR gene. Promising early leads have shown potent TTR mRNA knockdown in primary human hepatocytes. We plan to deliver our programmable nuclease and its associated gRNA to the liver using LNP technology, which has been shown to be highly selective for hepatocytes. This program not only provides a novel nuclease approach to knocking down TTR levels, but also leverages our partner’s long-standing clinical development expertise in the TTR amyloidosis field to accelerate our efforts.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A1AT Deficiency</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Disease</w:t>
      </w:r>
    </w:p>
    <w:p>
      <w:pPr>
        <w:spacing w:after="0" w:line="142"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A1AT deficiency is an autosomal recessive disease arising from loss of the normal A1AT protein encoded by the gene SERPINA1. Clinical manifestations of A1AT deficiency are primarily in the lung due to the toxic loss of normal function of A1AT, and occasionally in the liver due to the toxic effects of accumulation of abnormal A1AT.</w:t>
      </w:r>
    </w:p>
    <w:p>
      <w:pPr>
        <w:spacing w:after="0" w:line="88"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AIAT is a highly abundant plasma protein that acts as an inhibitor of the potent proteolytic enzyme neutrophil elastase. Neutrophil elastase is involved in the host response to infection, but when unchecked can degrade connective tissue. In the lung, clinical manifestations of A1AT deficiency include emphysema and bronchiectasis from destruction of normal alveolar connective tissue. In patients with liver disease, the primary pathophysiology is liver inflammation and cirrhosis due to buildup of abnormal A1AT protein. Liver disease is more often found in children with A1AT deficiency, and lung disease is more often found in adults with A1AT.</w:t>
      </w:r>
    </w:p>
    <w:p>
      <w:pPr>
        <w:spacing w:after="0" w:line="109"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A1AT deficiency is a clinically underrecognized disease, especially those with pulmonary manifestations as it is often mistaken for other forms of chronic obstructive pulmonary disease. Recent estimates from genetic screening suggest that 80,000 to 100,000 individuals in the United States have severe deficiencies of A1AT and approximately 40,000 to 60,000 have clinically manifest emphysema caused by A1AT deficiency. As not all individuals with A1AT deficiency present similarly, it is believed that environmental factors such as exposure to smoke, allergens, chemicals, and other environmental factors likely impact the severity and clinical manifestations.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Limitations of Current Therapy</w:t>
      </w:r>
    </w:p>
    <w:p>
      <w:pPr>
        <w:spacing w:after="0" w:line="142" w:lineRule="exact"/>
        <w:rPr>
          <w:sz w:val="20"/>
          <w:szCs w:val="20"/>
          <w:color w:val="auto"/>
        </w:rPr>
      </w:pPr>
    </w:p>
    <w:p>
      <w:pPr>
        <w:ind w:left="120" w:right="640"/>
        <w:spacing w:after="0" w:line="253" w:lineRule="auto"/>
        <w:rPr>
          <w:sz w:val="20"/>
          <w:szCs w:val="20"/>
          <w:color w:val="auto"/>
        </w:rPr>
      </w:pPr>
      <w:r>
        <w:rPr>
          <w:rFonts w:ascii="Arial" w:cs="Arial" w:eastAsia="Arial" w:hAnsi="Arial"/>
          <w:sz w:val="18"/>
          <w:szCs w:val="18"/>
          <w:color w:val="auto"/>
        </w:rPr>
        <w:t>Patients with A1AT deficiency are often treated with protein augmentation therapy. The goal of augmentation therapy is to increase circulating levels of A1AT sufficiently to balance the adverse effects of unchecked neutrophil elastase and slow the progression of emphysema. Augmentation therapy consists of an IV infusion of</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purified pooled donor plasma enriched for A1AT protein levels given weekly. While studies have demonstrated the ability to achieve higher circulating levels of A1AT with augmentation therapy, longer term impacts on protecting lung function are limited. This approach is also costly and not available for many patients. Infusions have also been associated with adverse events including flu-like reactions, fever, and rarely anaphylaxis. In severe cases of lung or liver disease, organ transplantation may be required to preserve life but are associated with post-transplant risks and long-term immunosuppression requirements.</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Approach/Next Steps</w:t>
      </w:r>
    </w:p>
    <w:p>
      <w:pPr>
        <w:spacing w:after="0" w:line="12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 xml:space="preserve">The most frequent mutation responsible for A1AT deficiency is the PiZ mutation that changes the normal amino acid at position 342, which is glutamic acid, to lysine (E342K). Patients that are homozygous for the PiZ allele (called ZZ allele) make up more than 90% of the patients globally. We propose to correct this mutation back to normal using either an adenine base editor or Little RIGS. Because individuals that are heterozygous for the PiZ mutation (so called ZM allele) have minimal pathology, it is expected that editing of 50% of the alleles would be therapeutic. The most common DNA sequence change that creates the E342K mutation is a G to A change at the first position of the codon; GAG (normal) to </w:t>
      </w:r>
      <w:r>
        <w:rPr>
          <w:rFonts w:ascii="Arial" w:cs="Arial" w:eastAsia="Arial" w:hAnsi="Arial"/>
          <w:sz w:val="18"/>
          <w:szCs w:val="18"/>
          <w:u w:val="single" w:color="auto"/>
          <w:color w:val="auto"/>
        </w:rPr>
        <w:t>A</w:t>
      </w:r>
      <w:r>
        <w:rPr>
          <w:rFonts w:ascii="Arial" w:cs="Arial" w:eastAsia="Arial" w:hAnsi="Arial"/>
          <w:sz w:val="18"/>
          <w:szCs w:val="18"/>
          <w:color w:val="auto"/>
        </w:rPr>
        <w:t>AG (PiZ). Converting the PiZ sequence (</w:t>
      </w:r>
      <w:r>
        <w:rPr>
          <w:rFonts w:ascii="Arial" w:cs="Arial" w:eastAsia="Arial" w:hAnsi="Arial"/>
          <w:sz w:val="18"/>
          <w:szCs w:val="18"/>
          <w:u w:val="single" w:color="auto"/>
          <w:color w:val="auto"/>
        </w:rPr>
        <w:t>A</w:t>
      </w:r>
      <w:r>
        <w:rPr>
          <w:rFonts w:ascii="Arial" w:cs="Arial" w:eastAsia="Arial" w:hAnsi="Arial"/>
          <w:sz w:val="18"/>
          <w:szCs w:val="18"/>
          <w:color w:val="auto"/>
        </w:rPr>
        <w:t>AG) to the normal sequence (GAG) requires changing the underlined A to G which can be achieved using an adenine base editor. For this approach to be successful, a potent gRNA needs to be identified that targets the editing window to the ABE at the precise location of the codon for amino acid 342. There are five additional A bases within 5 bp on either side of the target A base in the 342 codon which could be subject to bystander edits (defined as edits at non-target bases within the site targeted by the guide), several of which would change additional aa with unpredictable impacts on the structure and function of the protein. Given the complexity of this edit, we will evaluate multiple genome editing systems, including base editors and RIGS, in order to advance the most effective genome editing approach.</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Wilson’s Disease</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Disease</w:t>
      </w:r>
    </w:p>
    <w:p>
      <w:pPr>
        <w:spacing w:after="0" w:line="14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Wilson’s disease is an autosomal recessive disease of copper metabolism resulting from impaired function of the intracellular copper transporter encoded by the gene ATP7B. Mutations in ATP7B lead to impaired biliary excretion of copper, leading to copper accumulation in multiple organs including liver, brain, and eye. Given the large size of the gene and allelic heterogeneity, the disease has been difficult to target with any genetic medicine to date. While impaired copper excretion begins at birth, the effect is typically not observed clinically until later in childhood or early adulthood and the majority of patients are diagnosed between ages five and 35. The most common manifestation is chronic active hepatitis that can progress to liver cirrhosis; however, a variety of neurologic and psychiatric manifestations may also be present and undiagnosed. Such symptoms may include dysarthria, gait impairment, dystonia, depression, irritability, and personality changes. Diagnosis is typically suggested by abnormalities in blood ceruloplasmin and/or 24-hour urine copper as well as the presence of Kayser-Fleisher rings on ocular examination. Additional diagnostic certainty can come from liver biopsy and ATP7B sequencing.</w:t>
      </w:r>
    </w:p>
    <w:p>
      <w:pPr>
        <w:spacing w:after="0" w:line="112" w:lineRule="exact"/>
        <w:rPr>
          <w:sz w:val="20"/>
          <w:szCs w:val="20"/>
          <w:color w:val="auto"/>
        </w:rPr>
      </w:pPr>
    </w:p>
    <w:p>
      <w:pPr>
        <w:jc w:val="both"/>
        <w:ind w:left="120" w:right="220"/>
        <w:spacing w:after="0" w:line="253" w:lineRule="auto"/>
        <w:rPr>
          <w:sz w:val="20"/>
          <w:szCs w:val="20"/>
          <w:color w:val="auto"/>
        </w:rPr>
      </w:pPr>
      <w:r>
        <w:rPr>
          <w:rFonts w:ascii="Arial" w:cs="Arial" w:eastAsia="Arial" w:hAnsi="Arial"/>
          <w:sz w:val="18"/>
          <w:szCs w:val="18"/>
          <w:color w:val="auto"/>
        </w:rPr>
        <w:t>Wilson’s disease has an estimated global prevalence of one patient per 10,000 to 30,000 individuals although recent genotyping studies suggest that the actual genetic prevalence may be substantially higher. This estimate suggests that there are more than 30,000 patients with Wilson’s disease in the United States alone.</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Limitations of Current Therapy</w:t>
      </w:r>
    </w:p>
    <w:p>
      <w:pPr>
        <w:spacing w:after="0" w:line="142"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Wilson’s disease is a serious disease that is fatal if left untreated, typically from cirrhosis and liver failure. Once diagnosed, the standard of care for Wilson’s disease involves chronic treatments to try and remove copper from</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40"/>
          </w:cols>
          <w:pgMar w:left="320" w:top="455"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the body using copper chelators and efforts to minimize copper absorption from the gastrointestinal tract. Treatment must be lifelong to prevent copper reaccumulation and side effects from chelator therapy (e.g. hypersensitivity reactions, fever, changes to blood counts) are common and can lead to treatment discontinuation. If treatment is discontinued, patients are at risk for hepatic decompensation or the development of new neurologic symptoms. In patients with delayed diagnosis or rapidly progressive disease, liver transplant may be required with associated post-transplant risks and need for immunosuppression.</w:t>
      </w:r>
    </w:p>
    <w:p>
      <w:pPr>
        <w:spacing w:after="0" w:line="109"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color w:val="auto"/>
        </w:rPr>
        <w:t>There are no genetic medicines approved for Wilson’s disease. A genetic medicine has the potential to eliminate the need for life-long therapy and copper monitoring as well as reduce the risk for adverse events.</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Approach/Next Steps</w:t>
      </w:r>
    </w:p>
    <w:p>
      <w:pPr>
        <w:spacing w:after="0" w:line="142"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Wilson’s disease is inherited in a recessive manner meaning that heterozygotes (people having one mutant allele and one wild type allele) are not affected. This means that correction of only one of the two mutant alleles should be sufficient to confer a normal phenotype on the hepatocyte, the cell type in the liver in which the ATP7B gene performs its function. Patients with Wilson’s disease have a diverse spectrum of different mutation types (point mutations, deletions, splice site mutations) that are located throughout the ATP7B gene although different ethnic groups bear different predominant mutations. Common mutations in specific population groups include H1069Q (30-70% of Wilson’s disease patients in Germany, 30-70% in US Caucasians), M645R (approximately 30% of Wilson’s disease patients in Spain), R778L (40% of Wilson’s disease patients in Korea, approximately 30% in China).</w:t>
      </w:r>
    </w:p>
    <w:p>
      <w:pPr>
        <w:spacing w:after="0" w:line="117"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are working to treat Wilson’s disease using a Big RIGS insertion, potentially the first known instance of a targeted large gene insertion with this approach. We believe this represents the ideal approach for genome editing for Wilson’s disease because we expect that it could enable the majority of patients to be treated with the same therapy irrespective of their specific mutation(s) in ATP7B. The ATP7B gene spans 76,000 bp of DNA in the human genome, and the protein coding sequence of ATP7B is 4,398 bp in length which encodes a protein of 1,465 aa. The majority of the pathogenic mutations identified in ATP7B are located in the C-terminal half of the protein between amino acid positions 645 and 1373 which are encoded in exons 6 to 20 (Figure 34). This region includes the three most frequent mutations (H1069Q, R778L, M645R, I1148T) as well as many other less common mutations. We are evaluating a genome editing approach in which a donor template that encodes exons 6 to 20 of the ATP7B gene (2460 bp) is inserted in to the ATP7B locus at intron 6 (downstream of exon 5) such that exons 1 through 5 of the endogenous gene are functionally fused to the inserted wild type exons 6 to 20. We believe this will generate a wild type ATP7B protein driven from the endogenous ATP7B promoter thereby preserving the normal levels of ATP7B and normal regulation of expression. This approach should be applicable to all Wilson’s disease patients except for those with mutations in exons 1 to 5 which represent only a small fraction of the patient population. This approach leverages an all RNA based editing system such that the editing components could theoretically be delivered in a single LNP that is taken up by the hepatocytes of the liver.</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34</w:t>
      </w:r>
      <w:r>
        <w:rPr>
          <w:rFonts w:ascii="Arial" w:cs="Arial" w:eastAsia="Arial" w:hAnsi="Arial"/>
          <w:sz w:val="18"/>
          <w:szCs w:val="18"/>
          <w:color w:val="auto"/>
        </w:rPr>
        <w:t>. Genome Editing Strategy for Wilson’s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223520</wp:posOffset>
            </wp:positionV>
            <wp:extent cx="5203190" cy="11061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20319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Familial Amyotrophic Lateral Sclerosis (“ALS”)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Disease</w:t>
      </w:r>
    </w:p>
    <w:p>
      <w:pPr>
        <w:spacing w:after="0" w:line="14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ALS is a rapidly progressive neurodegenerative disorder of upper and lower motor neurons leading to weakness, disability, and death. The prevalence of ALS is approximately four to six patients per 100,000 individuals and it is estimated that over 5,000 patients are diagnosed each year in the United States. While the majority of ALS cases have no known family history, it is estimated that approximately 10% of cases are due to inherited causes. Of these, among the more prominent causes is from a mutation in the gene superoxide dismutase 1 (“SOD1”). SOD1 ALS (occasionally referred to as ALS1), is an autosomal dominant condition associated with toxic gain of function of SOD1 leading to protein misfolding and intraneuronal cytotoxicity. While the mechanism of action of SOD1 pathophysiology is poorly understood, it is unique in that histopathologically it does not contain typical cytoplasmic inclusions of the nuclear binding protein TDP-43 seen in other spontaneous and familial forms of ALS. The median age of diagnosis of SOD1 ALS is mid-to-late 40s, and similar to other forms of ALS, progressive weakness and loss of voluntary function is rapid with a median survival after diagnosis of approximately three years.</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Limitations of Current Therapy</w:t>
      </w:r>
    </w:p>
    <w:p>
      <w:pPr>
        <w:spacing w:after="0" w:line="14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Despite significant investment in research over recent decades, the standard of care for treating all forms of ALS is suboptimal and there remains no cure. There are currently three drugs approved in the United States to treat all forms of ALS (riluzole, sodium phenylbutyrate and taurursodiol, edaravone), and one recent accelerated drug approval for SOD1 ALS (tofersen). To date, only modest benefit in slowing disease progression or improving survival has been observed, and all of these medications require repeat administration or dosing and are associated with adverse effects. In a Phase 3 clinical trial, tofersen, which is an antisense olignonucleotide targeting SOD1 delivered directly to the cerebrospinal fluid and that requires repeated lumbar puncture monthly, did not result in a statistically significant change on clinical measures after 28 weeks of treatment, but did show a nominally statistically significant benefit on a biomarker, neurofilament light chain, and longer term administration was associated with slowing of disease. Clinically significant adverse reactions with tofersen include myositis and/or radiculitis, papilledema and elevated intracranial pressure, and aseptic meningitis, and additionally adverse reactions can occur from repeated lumbar puncture procedures. Thus, despite this precision medicine approach, there remains significant unmet need for effective therapies that can halt disease progression and improve overall survival from SOD1 ALS.</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Approach/Next Steps</w:t>
      </w:r>
    </w:p>
    <w:p>
      <w:pPr>
        <w:spacing w:after="0" w:line="142"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Our approach is to build upon the data generated by tofersen and use one of our programmable nucleases to durably knock down SOD1 levels with a single administration, thus capturing durable benefit with a clinically validated disease target without requiring the patient burden of repeat intrathecal administrations of an oligonucleotide. We plan to deliver the nuclease and associated guide using an AAV vector with sufficient tropism for lower motor neurons. We are currently initiating guide screening efforts to potently and selectively knock down SOD1 levels and determining the appropriate nuclease/guide system for AAV packaging.</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Spontaneous ALS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Disease and Limitations of Current Therapy</w:t>
      </w:r>
    </w:p>
    <w:p>
      <w:pPr>
        <w:spacing w:after="0" w:line="129"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color w:val="auto"/>
        </w:rPr>
        <w:t>As noted above, ALS is a relentless and ultimately fatal disease of motor neurons with no known cure. Approximately 90% of ALS does not have a known family history or clear genetic cause. While the underlying cause of ALS in most cases is unknown, a common histopathologic finding involves misfolded cytoplasmic protein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aggregates that include TDP-43. As TDP-43 is a highly conserved nuclear RNA and DNA binding protein involved in RNA processing, the clinical manifestations of ALS may arise both from the toxic cytoplasmic TDP-43 aggregates as well as RNA processing abnormalities from the loss of normal nuclear functions of TDP-43. The initial symptom of ALS is a gradual onset of muscle weakness that is typically painless. These symptoms are often followed by muscle twitching, loss of coordination, falls, and fatigue that impair functionality. As the disease progresses, loss of ambulation, spasticity, and diaphragmatic weakness progresses with the most common cause of death being respiratory failure. Despite the approval of several classes of oral compounds for spontaneous ALS, effects on preserving clinical functionality and survival are modest. There remains significant unmet need for safe and effective therapies that can halt disease progression and improve overall survival from spontaneous ALS.</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Approach/Next Steps</w:t>
      </w:r>
    </w:p>
    <w:p>
      <w:pPr>
        <w:spacing w:after="0" w:line="12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TDP-43 intracytoplasmic inclusions and proteinopathy are hallmarks of the vast majority of ALS histopathology; however, targeting TDP-43 directly has not been feasible due to its critical role in RNA processing and other cellular functions. We intend to develop an ALS therapy that targets the ATXN2 gene, which we believe is an attractive target based on strong third-party preclinical data targeting the gene ATXN2, which encodes the protein Ataxin 2, and has been shown to be a powerful genetic modifier of TDP-43 in yeast and flies, and importantly, knockdown of Ataxin 2, either by antisense oligonucleotides or by genetic manipulation has improved survival and motor function in a mouse model of ALS. A Phase 1/2 clinical trial of an investigational antisense oligonucleotide targeting Ataxin 2 in adults with ALS that is administered intrathecally is in progress, which will provide further information about the safety and efficacy of this approach.</w:t>
      </w:r>
    </w:p>
    <w:p>
      <w:pPr>
        <w:spacing w:after="0" w:line="117" w:lineRule="exact"/>
        <w:rPr>
          <w:sz w:val="20"/>
          <w:szCs w:val="20"/>
          <w:color w:val="auto"/>
        </w:rPr>
      </w:pPr>
    </w:p>
    <w:p>
      <w:pPr>
        <w:ind w:left="120" w:right="620"/>
        <w:spacing w:after="0" w:line="253" w:lineRule="auto"/>
        <w:rPr>
          <w:sz w:val="20"/>
          <w:szCs w:val="20"/>
          <w:color w:val="auto"/>
        </w:rPr>
      </w:pPr>
      <w:r>
        <w:rPr>
          <w:rFonts w:ascii="Arial" w:cs="Arial" w:eastAsia="Arial" w:hAnsi="Arial"/>
          <w:sz w:val="18"/>
          <w:szCs w:val="18"/>
          <w:color w:val="auto"/>
        </w:rPr>
        <w:t>Our plan is to deliver a nuclease and associated guide using an AAV vector with sufficient tropism for lower motor neurons. We are currently initiating guide screening efforts to potently and selectively knock down Ataxin 2 levels and determining the appropriate nuclease/guide system for AAV packaging.</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Charcot-Marie-Tooth Type 1a (“CMT1a”)</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Disease</w:t>
      </w:r>
    </w:p>
    <w:p>
      <w:pPr>
        <w:spacing w:after="0" w:line="142"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CMT1a is part of a larger classification of hereditary peripheral motor and sensory neuropathies caused by pathogenic mutations in proteins associated with myelin formation and axonal signal propagation. CMT1a is an autosomal dominant disease arising from a gene duplication of PMP22 (peripheral myelin protein-22) and overexpression of PMP22 protein. PMP22 is tightly regulated and expressed in Schwann cells that control the production of myelin sheaths around axons. Patients with CMT1a have altered myelination that impairs nerve conduction and neuromuscular function. Patients typically present in the first or second decade of life with lower extremity weakness, atrophy, falls, and sensory deficits. The disease is slowly progressive and impairs mobility, and can also involve changes to distal upper extremities and limb deformities. Although life expectancy is typically preserved, CMT1a leads to significant disability and impaired quality of life.</w:t>
      </w:r>
    </w:p>
    <w:p>
      <w:pPr>
        <w:spacing w:after="0" w:line="9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Although exact prevalence estimates vary, CMT is believed to affect one patient per 2,500 individuals, with approximately 126,000 patients in the United States alone. Of those approximately half are believed to have CMT1a, the most common form of the disease.</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Limitations of Current Therapy</w:t>
      </w:r>
    </w:p>
    <w:p>
      <w:pPr>
        <w:spacing w:after="0" w:line="129"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The treatment of CMT1a and other forms of CMT are largely supportive and there are no approved treatments. Existing standard of care involves physical therapy, stretching, orthotics, and occasional foot surgery to improve deformities that impair ambulation. Patients should be screened for conditions that can exacerbate neuropathies such as vitamin deficiencies or diabetes in an attempt to mitigate against more rapid progression.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There are investigational efforts for RNA targeted therapeutics to reduce PMP22 overexpression with strong preclinical data to support the approach, but clinical studies are very early and therapies would need to be given lifelong.</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Approach/Next Steps</w:t>
      </w:r>
    </w:p>
    <w:p>
      <w:pPr>
        <w:spacing w:after="0" w:line="12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Our approach to CMT1A is a permanent reduction of PMP22 protein levels to the normal range by knockdown of PMP22 expression using our nuclease platform. There is preclinical proof-of-concept for this approach in a mouse model of CMT1A using AAV9 to express a siRNA against PMP22. We intend to use our novel nucleases to introduce InDels in the promoter region of PMP22 that lead to a reproducible reduction of PMP22 expression to the normal range. We anticipate that this editing approach will be delivered via an AAV with the goal of achieving uniformly high levels of genome editing while minimizing the risk of toxicity resulting from reducing PMP22 levels to below normal at a cellular level.</w:t>
      </w:r>
    </w:p>
    <w:p>
      <w:pPr>
        <w:spacing w:after="0" w:line="111" w:lineRule="exact"/>
        <w:rPr>
          <w:sz w:val="20"/>
          <w:szCs w:val="20"/>
          <w:color w:val="auto"/>
        </w:rPr>
      </w:pPr>
    </w:p>
    <w:p>
      <w:pPr>
        <w:ind w:left="120" w:right="20"/>
        <w:spacing w:after="0" w:line="257" w:lineRule="auto"/>
        <w:rPr>
          <w:sz w:val="20"/>
          <w:szCs w:val="20"/>
          <w:color w:val="auto"/>
        </w:rPr>
      </w:pPr>
      <w:r>
        <w:rPr>
          <w:rFonts w:ascii="Arial" w:cs="Arial" w:eastAsia="Arial" w:hAnsi="Arial"/>
          <w:sz w:val="17"/>
          <w:szCs w:val="17"/>
          <w:color w:val="auto"/>
        </w:rPr>
        <w:t>We believe the diversity of our nuclease platforms including type V systems such as MG29-1 that create larger deletions and are more likely to inactivate promoters by eliminating transcription factor binding sites, lends itself to identification of nuclease guide combinations that are efficient and result in partial reduction in the expression of the PMP22 gene. We plan to perform a guide screen targeting the promoter region first in HEK293 cells (a cell line that expresses PMP22 mRNA) and active guides with promising InDel profiles and editing potency will be further evaluated for PMP22 mRNA knockdown. Lead systems will be vectorized into AAV9 viruses and evaluated in the CMT1a mouse model. Once reduction of PMP22 expression is confirmed, the therapeutic benefit can be evaluated via various endpoints including tissue morphology, nerve conduction velocity, circulating biomarkers and behavioral tests to support candidate selection.</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Duchenne Muscular Dystrophy (“DMD”)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Disease</w:t>
      </w:r>
    </w:p>
    <w:p>
      <w:pPr>
        <w:spacing w:after="0" w:line="14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DMD is an X-linked recessive myopathic disease involving loss of function mutations of dystrophin, a large protein critical for the stabilization and protection of muscle fibers encoded by the DMD gene. In the setting of absent or abnormal dystrophin, muscle fibers are prone to injury, degeneration, fibrosis, and ultimately fatty infiltration and replacement. DMD typically presents in early childhood with initial symptoms of muscle weakness and progresses rapidly to loss of ambulation as well as respiratory muscle fatigue and cardiomyopathy. In general, large proximal muscles are affected earlier than smaller distal muscles, and lower extremity muscles are affected earlier than upper extremity muscles. Patients are often wheelchair bound before teen years and often die in their late teens and early twenties from cardiopulmonary complications. Prior to clinically overt findings, patients typically have marked elevations in the muscle enzyme creatine kinase that can serve as the earliest indicator of muscle inflammation and degeneration. DMD is estimated to occur in one of every 3,500 live births, and as an x linked recessive disease is observed almost entirely in males.</w:t>
      </w:r>
    </w:p>
    <w:p>
      <w:pPr>
        <w:spacing w:after="0" w:line="102"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DMD is the largest gene identified in humans to date spanning approximately 2.3 Mbp, and the severity of clinical manifestations of the muscular dystrophy is in part related to the location and type of dystrophin mutation and resulting residual amount of dystrophin present. Accordingly, in-frame mutations with residual dystrophin of 5-50% are associated with a less severe clinical course than early truncating mutations with residual dystrophin levels of 0-5%. These findings have led to drug development efforts to restore out of frame mutations into in-frame mutations that result in an abnormal but partially effective dystrophin protein. Additionally, it has been observed that in-frame deletions of large portions of the central part of the dystrophin protein coding region are well tolerated, which has provided the basis for gene transfer approaches of a “microdystrophin” protein.</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00"/>
          </w:cols>
          <w:pgMar w:left="320" w:top="455" w:right="4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Limitations of Current Approaches</w:t>
      </w:r>
    </w:p>
    <w:p>
      <w:pPr>
        <w:spacing w:after="0" w:line="142"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Despite significant efforts to develop precision medicines for DMD, results to date have not led to meaningful improvements in the standard of care for patients. The mainstay of treatment for DMD is glucocorticoids to address muscle inflammation and improve proximal muscle strength and respiratory function. However, the benefits of glucocorticoids have to be weighed against their long-term risks that include excessive weight gain, impact on growth, cataract formation, bone loss/fracture risk, and behavioral changes. More recently several genetic therapies that induce exon skipping have been approved in the United States to address specific mutations (e.g., exon 45 (casimersen), exon 51 (etiplirsen), exon 53 (golodirsen)) or induce readthrough of stop mutations (ataluren). These therapies have shown modest improvement in muscle dystrophin levels but their overall impact on clinical outcomes has not been established.</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Approach/Next Steps</w:t>
      </w:r>
    </w:p>
    <w:p>
      <w:pPr>
        <w:spacing w:after="0" w:line="129" w:lineRule="exact"/>
        <w:rPr>
          <w:sz w:val="20"/>
          <w:szCs w:val="20"/>
          <w:color w:val="auto"/>
        </w:rPr>
      </w:pPr>
    </w:p>
    <w:p>
      <w:pPr>
        <w:jc w:val="both"/>
        <w:ind w:left="120" w:right="300"/>
        <w:spacing w:after="0" w:line="253" w:lineRule="auto"/>
        <w:rPr>
          <w:sz w:val="20"/>
          <w:szCs w:val="20"/>
          <w:color w:val="auto"/>
        </w:rPr>
      </w:pPr>
      <w:r>
        <w:rPr>
          <w:rFonts w:ascii="Arial" w:cs="Arial" w:eastAsia="Arial" w:hAnsi="Arial"/>
          <w:sz w:val="18"/>
          <w:szCs w:val="18"/>
          <w:color w:val="auto"/>
        </w:rPr>
        <w:t>DMD patients often have deletions of entire exons (frequently in the hotspot region of exons 45-55) which results in the flanking exons being spliced out of frame at the mRNA level. Approved therapies have aimed to correct these mutations by restoring the open reading frame through “exon skipping”, thus avoiding degradation of the mRNA and/or premature protein termination.</w:t>
      </w:r>
    </w:p>
    <w:p>
      <w:pPr>
        <w:spacing w:after="0" w:line="101"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Our proposed genome editing approach is to more effectively facilitate exon skipping by making permanent changes at the DNA level using genome editing that inactivate the splice acceptor (5’ exon splice junction sequence) of the exon that follows the deleted exon such that after transcription the RNA splicing machinery “skips” over that exon, splices to the following exon, and restores the proper reading frame. The resulting proteins will lack the domains encoded by the mutated and skipped exons but these are known to function nearly as well as normal dystrophin.</w:t>
      </w:r>
    </w:p>
    <w:p>
      <w:pPr>
        <w:spacing w:after="0" w:line="1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For example, one common mutation is deletion of exon 44, which results in exon 43 being aberrantly spliced to exon 45 and an out of frame mRNA (designated as “STOP” in Figure 35) which is then degraded or translated into a truncated protein. As shown in the Figure 35 below, skipping of exon 45 results in splicing from exon 43 to 46 and restores protein expression.</w:t>
      </w:r>
    </w:p>
    <w:p>
      <w:pPr>
        <w:spacing w:after="0" w:line="88"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color w:val="auto"/>
        </w:rPr>
        <w:t>Figure 35</w:t>
      </w:r>
      <w:r>
        <w:rPr>
          <w:rFonts w:ascii="Arial" w:cs="Arial" w:eastAsia="Arial" w:hAnsi="Arial"/>
          <w:sz w:val="18"/>
          <w:szCs w:val="18"/>
          <w:color w:val="auto"/>
        </w:rPr>
        <w:t>. Example of Exon Skipping Approach for Dystrophin Exon 45 that Results in Splicing of Exon 43 to 46 Thereby Restoring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Correct Translational Reading Frame and Thus Dystrophin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4174490" cy="19284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174490"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 xml:space="preserve">We believe a similar strategy can be employed for deletions of exons 50, 51, and 53, creating a franchise of development programs for DMD. We are in the process of initiating a guide screen using our toolbox of DSB nucleases and base editors that are small enough to package in a single AAV vector to inactivate the splice acceptors of the various exons within this hotspot region. The splice acceptor sequence is short (composed of a poly-pyrimidine tract of about 10 to 15 bases followed a short distance away by the three base consensus sequence C/T-A-G) which limits the number of guides that can be designed to inactivate the splice acceptor when using a single nuclease. We are leveraging our collection of small nucleases that have a variety of different PAMs to enable more guides to be designed against each splice acceptor. Hits from this guide screen will be assayed in cardiac and/or skeletal muscle cells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The nuclease/guide combinations that show potent activity in muscle cells will then be evaluated in human cells in which the DMD gene contains the relevant pathogenic mutations to evaluate exon skipping activity.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evaluation of leads will be performed in mouse models of DMD.</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Because DMD affects skeletal and cardiac muscles throughout the body of DMD patients, effective therapy will require delivery to a large proportion of these muscles with the diaphragm and heart muscle being of particular importance. To date the only delivery system that is able to deliver to these tissues is AAV, with AAV serotype 9 showing the most promising delivery profile. Because a maximum of up to 5 kb of DNA can be packaged inside the AAV virus it is not possible to deliver SpCas9 and a guide or current SpCas9 derived base editors and a guide in a single AAV. While these larger systems can be split between two AAVs, this reduces potency due to the dose limiting toxicity of AAV and the need to administer two viruses (effectively doubling the dose). A dual AAV approach also increases manufacturing complexity and costs. We are leveraging our collection of smaller editing systems that can be packaged in a single AAV (currently three nucleases).</w:t>
      </w:r>
    </w:p>
    <w:p>
      <w:pPr>
        <w:spacing w:after="0" w:line="113"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color w:val="auto"/>
        </w:rPr>
        <w:t>The potential therapeutic benefit of editing the DMD gene in mouse models will be assayed at the mRNA and protein level, and by functional endpoints such as maximum force output.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Cystic fibrosis</w:t>
      </w:r>
    </w:p>
    <w:p>
      <w:pPr>
        <w:spacing w:after="0" w:line="144"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Cystic fibrosis is an autosomal recessive lung disease caused by mutations in the CFTR gene. Mutations impact electrolyte transport in cells that produce mucus, sweat, and digestive fluids causing these secretions to be thicker and more viscous than normal. As a result, these secretions become sticky and can clog passageways and ducts, particularly in the lung and pancreas. Over time, these thick mucus secretions in the lung cause chronic lung infections, inflammation, fibrosis and ultimately destructive bronchoalveolar lung disease resulting in progressive pulmonary failure. The pancreas is similarly affected and blockage of ducts in the pancreas lead to loss of exocrine function and pancreatic insufficiency.</w:t>
      </w:r>
    </w:p>
    <w:p>
      <w:pPr>
        <w:spacing w:after="0" w:line="98"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The overall incidence of cystic fibrosis is estimated at one patient in 3,000 to 6,000 live births in the US and Europe, but rates depend strongly on geographic location and ethnicity with higher rates in Caucasians of northern European descent and much lower rates in Asians. It is estimated that there are approximately 30,000 individuals living with cystic fibrosis in the US and 70,000 individuals worldwide. Over the past few decades, improvements in antibiotic treatments, supportive measures, multidisciplinary care centers, and newer targeted medications have increased the overall life expectancy from late childhood to the fourth decade.</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Limitations in Current Approaches</w:t>
      </w:r>
    </w:p>
    <w:p>
      <w:pPr>
        <w:spacing w:after="0" w:line="129"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8"/>
          <w:szCs w:val="18"/>
          <w:color w:val="auto"/>
        </w:rPr>
        <w:t>One of the challenges in developing precision medicines for cystic fibrosis is the large nature of the gene and the varied mutations along the gene that result in loss of protein expression, loss of function, misfolding and mislocalization within the cell. Accordingly, therapeutic efforts have required individualized approaches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spacing w:after="0" w:line="253" w:lineRule="auto"/>
        <w:rPr>
          <w:sz w:val="20"/>
          <w:szCs w:val="20"/>
          <w:color w:val="auto"/>
        </w:rPr>
      </w:pPr>
      <w:r>
        <w:rPr>
          <w:rFonts w:ascii="Arial" w:cs="Arial" w:eastAsia="Arial" w:hAnsi="Arial"/>
          <w:sz w:val="18"/>
          <w:szCs w:val="18"/>
          <w:color w:val="auto"/>
        </w:rPr>
        <w:t>tailored to certain mutations to improve CFTR function. Although such medications have improved rates of lung function decline, not all patients have mutations amenable to CFTR targeted therapies. Further, none of these therapies offer a true cure to the underlying gene mutation, and patients continue to experience morbidity and mortality from cystic fibrosis disease progression.</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Approach/Next Steps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goal for a genome editing based treatment for cystic fibrosis is two-fold: (1) a permanent curative therapy from a single treatment, and</w:t>
      </w:r>
    </w:p>
    <w:p>
      <w:pPr>
        <w:spacing w:after="0" w:line="14" w:lineRule="exact"/>
        <w:rPr>
          <w:sz w:val="20"/>
          <w:szCs w:val="20"/>
          <w:color w:val="auto"/>
        </w:rPr>
      </w:pPr>
    </w:p>
    <w:p>
      <w:pPr>
        <w:ind w:left="120" w:right="160" w:hanging="4"/>
        <w:spacing w:after="0" w:line="237" w:lineRule="auto"/>
        <w:tabs>
          <w:tab w:leader="none" w:pos="39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therapy that is applicable to the majority of cystic fibrosis patients. We believe this could be achieved by integrating a functional version of the CFTR gene into the genome of the lung basal stem cells (alternatively called bronchioalveolar stem cells). The basal stem cells are believed to give rise to the lung epithelial cells that are the site of CFTR expression that is defective in cystic fibrosis patients. Stem cells are a specialized population of cells that are maintained for a person’s lifetime and are the source for renewal of differentiated cells. Editing the stem cells should ensure that the introduced functional CFTR gene is not lost over time due to the shedding of differentiated epithelial cells. By integrating a functional CFTR gene rather than correcting individual cystic fibrosis causing mutations, a single therapy could treat the majority of cystic fibrosis patients.</w:t>
      </w:r>
    </w:p>
    <w:p>
      <w:pPr>
        <w:spacing w:after="0" w:line="117"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We intend to explore two of our genome editing modalities in cystic fibrosis. The Big RIGS technology and CAST systems both have the potential to integrate large pieces of DNA (in this case encoding a CFTR gene) into a specific site in the genome. For the Big RIGS approach, the CFTR gene would be delivered as an RNA that is reverse transcribed into DNA to provide the DNA template for integration. In the case of CAST, the CFTR gene would be delivered as double stranded DNA that is recognized by the CAST system and integrated at the desired site by the transposase. Delivery to the basal stem cells of the lungs can theoretically be achieved by IV dosing. We may also evaluate a non-viral delivery system for lung delivery.</w:t>
      </w:r>
    </w:p>
    <w:p>
      <w:pPr>
        <w:spacing w:after="0" w:line="111"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We believe the Big RIGS system has the advantage that it can be delivered using only RNA for which non-viral RNA delivery technologies such as LNP are well established. In contrast, delivery of DNA (that would be required for CAST) by non-viral delivery vectors is not well established with the main barrier being transit of the DNA into the nucleus. However, in a preliminary study we have recently demonstrated delivery of a 4.6 kb double stranded DNA to the nuclei of cells in the liver of mice by IV administered LNP.</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Cell Therapy Applications Using Our Platform</w:t>
      </w:r>
    </w:p>
    <w:p>
      <w:pPr>
        <w:spacing w:after="0" w:line="148" w:lineRule="exact"/>
        <w:rPr>
          <w:sz w:val="20"/>
          <w:szCs w:val="20"/>
          <w:color w:val="auto"/>
        </w:rPr>
      </w:pPr>
    </w:p>
    <w:p>
      <w:pPr>
        <w:ind w:left="120" w:right="260"/>
        <w:spacing w:after="0" w:line="261" w:lineRule="auto"/>
        <w:rPr>
          <w:sz w:val="20"/>
          <w:szCs w:val="20"/>
          <w:color w:val="auto"/>
        </w:rPr>
      </w:pPr>
      <w:r>
        <w:rPr>
          <w:rFonts w:ascii="Arial" w:cs="Arial" w:eastAsia="Arial" w:hAnsi="Arial"/>
          <w:sz w:val="17"/>
          <w:szCs w:val="17"/>
          <w:color w:val="auto"/>
        </w:rPr>
        <w:t>Identifying and optimizing novel nucleases from our metagenomics platform has involved a series of stringent efficiency, activity, and specificity testing in a variety of immune cell types which yields a comprehensive dataset that demonstrates our genome editing capabilities for cell therapy applications. Many cell therapies require multiple simultaneous genome edits to enhance efficacy, safety, and/or durability of these products. Our toolbox provides an important advantage compared to the current cell therapy landscape as we are able to use either single or multiple nucleases for simultaneous diverse edits (“multiplex editing”) with high efficiency and specificity.</w:t>
      </w:r>
    </w:p>
    <w:p>
      <w:pPr>
        <w:spacing w:after="0" w:line="85"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Figure 36 shows an example of highly efficient multiplex editing demonstrated with two of our lead nucleases, where multiplex editing in T cells resulted in high editing efficiency for double knock-out of alpha and beta T-cell receptor (“TCR”). In the context of our collaboration with Affini-T, knock-out of both TCR chains enabled TCR-based T cell therapy by preventing endogenous and exogenous TCR mispairing. TCR mispairing can reduce the expression of therapeutic TCRs and may also result in the creation of unintentional chimeric TCRs with undesirable activities. Thus, we believe knock-out of both the alpha and beta chains is critical for creating safe and effective TCR-based cell therapies. We believe the successful multiplexing of our nucleases for TCR T cell</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color w:val="auto"/>
        </w:rPr>
        <w:t xml:space="preserve">development suggests that these systems will have the potential to be utilized for editing across additional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therapy applications.</w:t>
      </w:r>
    </w:p>
    <w:p>
      <w:pPr>
        <w:spacing w:after="0" w:line="86"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color w:val="auto"/>
        </w:rPr>
        <w:t>Figure 36</w:t>
      </w:r>
      <w:r>
        <w:rPr>
          <w:rFonts w:ascii="Arial" w:cs="Arial" w:eastAsia="Arial" w:hAnsi="Arial"/>
          <w:sz w:val="18"/>
          <w:szCs w:val="18"/>
          <w:color w:val="auto"/>
        </w:rPr>
        <w:t>. Exemplary Type II MG3-6 and Type V MG29-1 Nucleases Exhibited Highly Efficient Multiplexed Genome Editing in Primary</w:t>
      </w:r>
      <w:r>
        <w:rPr>
          <w:rFonts w:ascii="Arial" w:cs="Arial" w:eastAsia="Arial" w:hAnsi="Arial"/>
          <w:sz w:val="18"/>
          <w:szCs w:val="18"/>
          <w:b w:val="1"/>
          <w:bCs w:val="1"/>
          <w:color w:val="auto"/>
        </w:rPr>
        <w:t xml:space="preserve"> </w:t>
      </w:r>
      <w:r>
        <w:rPr>
          <w:rFonts w:ascii="Arial" w:cs="Arial" w:eastAsia="Arial" w:hAnsi="Arial"/>
          <w:sz w:val="18"/>
          <w:szCs w:val="18"/>
          <w:color w:val="auto"/>
        </w:rPr>
        <w:t>Human T-Cells.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5083175" cy="19627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083175"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 w:right="120" w:hanging="324"/>
        <w:spacing w:after="0" w:line="281" w:lineRule="auto"/>
        <w:tabs>
          <w:tab w:leader="none" w:pos="44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 cell genome editing, applicable to our partnership with Affini-T. Individually formulated RNPs were delivered to T cells and genome editing assayed by DNA sequencing of TRAC-, TRBC1-, and TRBC2-specific amplicons. For TRBC, the average of the editing in TRBC1 and TRBC2 is reported.</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initial lead nucleases can be used to efficiently engineer primary human T cells, demonstrating utility for cell therapy applications.</w:t>
      </w:r>
    </w:p>
    <w:p>
      <w:pPr>
        <w:spacing w:after="0" w:line="131"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Our programmable nucleases have achieved key requirements for T cell engineering, including genome editing dsDNA-break induced knock-in of a chimeric antigen receptor (CAR, Figure 37).</w:t>
      </w:r>
    </w:p>
    <w:p>
      <w:pPr>
        <w:spacing w:after="0" w:line="8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0800"/>
          </w:cols>
          <w:pgMar w:left="320" w:top="455" w:right="7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Figure 37</w:t>
      </w:r>
      <w:r>
        <w:rPr>
          <w:rFonts w:ascii="Arial" w:cs="Arial" w:eastAsia="Arial" w:hAnsi="Arial"/>
          <w:sz w:val="17"/>
          <w:szCs w:val="17"/>
          <w:color w:val="auto"/>
        </w:rPr>
        <w:t>. Example of Two Lead Nucleases, Type II MG3-6 and Type V MG29-1, Capable of Engineering Primary Human T Cells.</w:t>
      </w:r>
    </w:p>
    <w:p>
      <w:pPr>
        <w:sectPr>
          <w:pgSz w:w="11900" w:h="16838" w:orient="portrait"/>
          <w:cols w:equalWidth="0" w:num="1">
            <w:col w:w="11060"/>
          </w:cols>
          <w:pgMar w:left="320" w:top="455" w:right="519" w:bottom="1440" w:gutter="0" w:footer="0" w:header="0"/>
        </w:sectPr>
      </w:pPr>
    </w:p>
    <w:p>
      <w:pPr>
        <w:spacing w:after="0" w:line="115"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color w:val="auto"/>
        </w:rPr>
        <w:t xml:space="preserve">Figure 37a. </w:t>
      </w:r>
      <w:r>
        <w:rPr>
          <w:rFonts w:ascii="Arial" w:cs="Arial" w:eastAsia="Arial" w:hAnsi="Arial"/>
          <w:sz w:val="18"/>
          <w:szCs w:val="18"/>
          <w:color w:val="auto"/>
        </w:rPr>
        <w:t>MG3-6 and MG29-1 enabled efficient CAR knock-in in</w:t>
      </w:r>
      <w:r>
        <w:rPr>
          <w:rFonts w:ascii="Arial" w:cs="Arial" w:eastAsia="Arial" w:hAnsi="Arial"/>
          <w:sz w:val="18"/>
          <w:szCs w:val="18"/>
          <w:b w:val="1"/>
          <w:bCs w:val="1"/>
          <w:color w:val="auto"/>
        </w:rPr>
        <w:t xml:space="preserve"> </w:t>
      </w:r>
      <w:r>
        <w:rPr>
          <w:rFonts w:ascii="Arial" w:cs="Arial" w:eastAsia="Arial" w:hAnsi="Arial"/>
          <w:sz w:val="18"/>
          <w:szCs w:val="18"/>
          <w:color w:val="auto"/>
        </w:rPr>
        <w:t>human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2554605" cy="21774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54605" cy="2177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b w:val="1"/>
          <w:bCs w:val="1"/>
          <w:color w:val="auto"/>
        </w:rPr>
        <w:t xml:space="preserve">Figure 37b. </w:t>
      </w:r>
      <w:r>
        <w:rPr>
          <w:rFonts w:ascii="Arial" w:cs="Arial" w:eastAsia="Arial" w:hAnsi="Arial"/>
          <w:sz w:val="18"/>
          <w:szCs w:val="18"/>
          <w:color w:val="auto"/>
        </w:rPr>
        <w:t>Engineered T cells exhibited CAR-specific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cytotoxicity.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2494280" cy="24942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494280" cy="24942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440"/>
            <w:col w:w="5200"/>
          </w:cols>
          <w:pgMar w:left="320" w:top="455"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680" w:type="dxa"/>
            <w:vAlign w:val="bottom"/>
          </w:tcPr>
          <w:p>
            <w:pPr>
              <w:spacing w:after="0"/>
              <w:rPr>
                <w:sz w:val="20"/>
                <w:szCs w:val="20"/>
                <w:color w:val="auto"/>
              </w:rPr>
            </w:pPr>
            <w:r>
              <w:rPr>
                <w:rFonts w:ascii="Arial" w:cs="Arial" w:eastAsia="Arial" w:hAnsi="Arial"/>
                <w:sz w:val="13"/>
                <w:szCs w:val="13"/>
                <w:color w:val="auto"/>
              </w:rPr>
              <w:t>*     Nucleases were delivered as RNP and CAR donor template by AAV.</w:t>
            </w:r>
          </w:p>
        </w:tc>
        <w:tc>
          <w:tcPr>
            <w:tcW w:w="5260" w:type="dxa"/>
            <w:vAlign w:val="bottom"/>
          </w:tcPr>
          <w:p>
            <w:pPr>
              <w:ind w:left="60"/>
              <w:spacing w:after="0"/>
              <w:rPr>
                <w:sz w:val="20"/>
                <w:szCs w:val="20"/>
                <w:color w:val="auto"/>
              </w:rPr>
            </w:pPr>
            <w:r>
              <w:rPr>
                <w:rFonts w:ascii="Arial" w:cs="Arial" w:eastAsia="Arial" w:hAnsi="Arial"/>
                <w:sz w:val="13"/>
                <w:szCs w:val="13"/>
                <w:color w:val="auto"/>
              </w:rPr>
              <w:t>*     Dose-dependent, CAR- and antigen-specific cytotoxic activity of MG3-6- and</w:t>
            </w:r>
          </w:p>
        </w:tc>
        <w:tc>
          <w:tcPr>
            <w:tcW w:w="0" w:type="dxa"/>
            <w:vAlign w:val="bottom"/>
          </w:tcPr>
          <w:p>
            <w:pPr>
              <w:spacing w:after="0"/>
              <w:rPr>
                <w:sz w:val="1"/>
                <w:szCs w:val="1"/>
                <w:color w:val="auto"/>
              </w:rPr>
            </w:pPr>
          </w:p>
        </w:tc>
      </w:tr>
      <w:tr>
        <w:trPr>
          <w:trHeight w:val="149"/>
        </w:trPr>
        <w:tc>
          <w:tcPr>
            <w:tcW w:w="5680" w:type="dxa"/>
            <w:vAlign w:val="bottom"/>
            <w:vMerge w:val="restart"/>
          </w:tcPr>
          <w:p>
            <w:pPr>
              <w:spacing w:after="0"/>
              <w:rPr>
                <w:sz w:val="20"/>
                <w:szCs w:val="20"/>
                <w:color w:val="auto"/>
              </w:rPr>
            </w:pPr>
            <w:r>
              <w:rPr>
                <w:rFonts w:ascii="Arial" w:cs="Arial" w:eastAsia="Arial" w:hAnsi="Arial"/>
                <w:sz w:val="13"/>
                <w:szCs w:val="13"/>
                <w:color w:val="auto"/>
              </w:rPr>
              <w:t>*     Nucleases were programmed to target the TRAC locus.</w:t>
            </w:r>
          </w:p>
        </w:tc>
        <w:tc>
          <w:tcPr>
            <w:tcW w:w="5260" w:type="dxa"/>
            <w:vAlign w:val="bottom"/>
          </w:tcPr>
          <w:p>
            <w:pPr>
              <w:ind w:left="320"/>
              <w:spacing w:after="0"/>
              <w:rPr>
                <w:sz w:val="20"/>
                <w:szCs w:val="20"/>
                <w:color w:val="auto"/>
              </w:rPr>
            </w:pPr>
            <w:r>
              <w:rPr>
                <w:rFonts w:ascii="Arial" w:cs="Arial" w:eastAsia="Arial" w:hAnsi="Arial"/>
                <w:sz w:val="13"/>
                <w:szCs w:val="13"/>
                <w:color w:val="auto"/>
              </w:rPr>
              <w:t>MG29-1-based CAR-T cells when exposed to cells expressing the CAR target</w:t>
            </w:r>
          </w:p>
        </w:tc>
        <w:tc>
          <w:tcPr>
            <w:tcW w:w="0" w:type="dxa"/>
            <w:vAlign w:val="bottom"/>
          </w:tcPr>
          <w:p>
            <w:pPr>
              <w:spacing w:after="0"/>
              <w:rPr>
                <w:sz w:val="1"/>
                <w:szCs w:val="1"/>
                <w:color w:val="auto"/>
              </w:rPr>
            </w:pPr>
          </w:p>
        </w:tc>
      </w:tr>
      <w:tr>
        <w:trPr>
          <w:trHeight w:val="109"/>
        </w:trPr>
        <w:tc>
          <w:tcPr>
            <w:tcW w:w="5680" w:type="dxa"/>
            <w:vAlign w:val="bottom"/>
            <w:vMerge w:val="continue"/>
          </w:tcPr>
          <w:p>
            <w:pPr>
              <w:spacing w:after="0"/>
              <w:rPr>
                <w:sz w:val="9"/>
                <w:szCs w:val="9"/>
                <w:color w:val="auto"/>
              </w:rPr>
            </w:pPr>
          </w:p>
        </w:tc>
        <w:tc>
          <w:tcPr>
            <w:tcW w:w="5260" w:type="dxa"/>
            <w:vAlign w:val="bottom"/>
            <w:vMerge w:val="restart"/>
          </w:tcPr>
          <w:p>
            <w:pPr>
              <w:ind w:left="320"/>
              <w:spacing w:after="0"/>
              <w:rPr>
                <w:sz w:val="20"/>
                <w:szCs w:val="20"/>
                <w:color w:val="auto"/>
              </w:rPr>
            </w:pPr>
            <w:r>
              <w:rPr>
                <w:rFonts w:ascii="Arial" w:cs="Arial" w:eastAsia="Arial" w:hAnsi="Arial"/>
                <w:sz w:val="13"/>
                <w:szCs w:val="13"/>
                <w:color w:val="auto"/>
              </w:rPr>
              <w:t>antigen BCMA. Data from the MG3-6 anti-BCMA CAR are given in blue, from the</w:t>
            </w:r>
          </w:p>
        </w:tc>
        <w:tc>
          <w:tcPr>
            <w:tcW w:w="0" w:type="dxa"/>
            <w:vAlign w:val="bottom"/>
          </w:tcPr>
          <w:p>
            <w:pPr>
              <w:spacing w:after="0"/>
              <w:rPr>
                <w:sz w:val="1"/>
                <w:szCs w:val="1"/>
                <w:color w:val="auto"/>
              </w:rPr>
            </w:pPr>
          </w:p>
        </w:tc>
      </w:tr>
      <w:tr>
        <w:trPr>
          <w:trHeight w:val="40"/>
        </w:trPr>
        <w:tc>
          <w:tcPr>
            <w:tcW w:w="5680" w:type="dxa"/>
            <w:vAlign w:val="bottom"/>
          </w:tcPr>
          <w:p>
            <w:pPr>
              <w:spacing w:after="0"/>
              <w:rPr>
                <w:sz w:val="3"/>
                <w:szCs w:val="3"/>
                <w:color w:val="auto"/>
              </w:rPr>
            </w:pPr>
          </w:p>
        </w:tc>
        <w:tc>
          <w:tcPr>
            <w:tcW w:w="52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5680" w:type="dxa"/>
            <w:vAlign w:val="bottom"/>
          </w:tcPr>
          <w:p>
            <w:pPr>
              <w:spacing w:after="0"/>
              <w:rPr>
                <w:sz w:val="20"/>
                <w:szCs w:val="20"/>
                <w:color w:val="auto"/>
              </w:rPr>
            </w:pPr>
            <w:r>
              <w:rPr>
                <w:rFonts w:ascii="Arial" w:cs="Arial" w:eastAsia="Arial" w:hAnsi="Arial"/>
                <w:sz w:val="13"/>
                <w:szCs w:val="13"/>
                <w:color w:val="auto"/>
              </w:rPr>
              <w:t>*     CAR integration into T cells from 10 T cell donors with MG3-6 and MG29-1 and either 5E4</w:t>
            </w:r>
          </w:p>
        </w:tc>
        <w:tc>
          <w:tcPr>
            <w:tcW w:w="5260" w:type="dxa"/>
            <w:vAlign w:val="bottom"/>
          </w:tcPr>
          <w:p>
            <w:pPr>
              <w:ind w:left="320"/>
              <w:spacing w:after="0"/>
              <w:rPr>
                <w:sz w:val="20"/>
                <w:szCs w:val="20"/>
                <w:color w:val="auto"/>
              </w:rPr>
            </w:pPr>
            <w:r>
              <w:rPr>
                <w:rFonts w:ascii="Arial" w:cs="Arial" w:eastAsia="Arial" w:hAnsi="Arial"/>
                <w:sz w:val="13"/>
                <w:szCs w:val="13"/>
                <w:color w:val="auto"/>
              </w:rPr>
              <w:t>MG29-1 anti-BCMA CAR are given in yellow, and an anti-TNP CAR integrated with</w:t>
            </w:r>
          </w:p>
        </w:tc>
        <w:tc>
          <w:tcPr>
            <w:tcW w:w="0" w:type="dxa"/>
            <w:vAlign w:val="bottom"/>
          </w:tcPr>
          <w:p>
            <w:pPr>
              <w:spacing w:after="0"/>
              <w:rPr>
                <w:sz w:val="1"/>
                <w:szCs w:val="1"/>
                <w:color w:val="auto"/>
              </w:rPr>
            </w:pPr>
          </w:p>
        </w:tc>
      </w:tr>
      <w:tr>
        <w:trPr>
          <w:trHeight w:val="148"/>
        </w:trPr>
        <w:tc>
          <w:tcPr>
            <w:tcW w:w="5680" w:type="dxa"/>
            <w:vAlign w:val="bottom"/>
          </w:tcPr>
          <w:p>
            <w:pPr>
              <w:ind w:left="260"/>
              <w:spacing w:after="0"/>
              <w:rPr>
                <w:sz w:val="20"/>
                <w:szCs w:val="20"/>
                <w:color w:val="auto"/>
              </w:rPr>
            </w:pPr>
            <w:r>
              <w:rPr>
                <w:rFonts w:ascii="Arial" w:cs="Arial" w:eastAsia="Arial" w:hAnsi="Arial"/>
                <w:sz w:val="13"/>
                <w:szCs w:val="13"/>
                <w:color w:val="auto"/>
              </w:rPr>
              <w:t>or 1E5 MOI.</w:t>
            </w:r>
          </w:p>
        </w:tc>
        <w:tc>
          <w:tcPr>
            <w:tcW w:w="5260" w:type="dxa"/>
            <w:vAlign w:val="bottom"/>
          </w:tcPr>
          <w:p>
            <w:pPr>
              <w:ind w:left="320"/>
              <w:spacing w:after="0"/>
              <w:rPr>
                <w:sz w:val="20"/>
                <w:szCs w:val="20"/>
                <w:color w:val="auto"/>
              </w:rPr>
            </w:pPr>
            <w:r>
              <w:rPr>
                <w:rFonts w:ascii="Arial" w:cs="Arial" w:eastAsia="Arial" w:hAnsi="Arial"/>
                <w:sz w:val="13"/>
                <w:szCs w:val="13"/>
                <w:color w:val="auto"/>
              </w:rPr>
              <w:t>MG3-6 or MG29-1 in gray; cytotoxic response to parental line is shown in the</w:t>
            </w:r>
          </w:p>
        </w:tc>
        <w:tc>
          <w:tcPr>
            <w:tcW w:w="0" w:type="dxa"/>
            <w:vAlign w:val="bottom"/>
          </w:tcPr>
          <w:p>
            <w:pPr>
              <w:spacing w:after="0"/>
              <w:rPr>
                <w:sz w:val="1"/>
                <w:szCs w:val="1"/>
                <w:color w:val="auto"/>
              </w:rPr>
            </w:pPr>
          </w:p>
        </w:tc>
      </w:tr>
      <w:tr>
        <w:trPr>
          <w:trHeight w:val="160"/>
        </w:trPr>
        <w:tc>
          <w:tcPr>
            <w:tcW w:w="5680" w:type="dxa"/>
            <w:vAlign w:val="bottom"/>
          </w:tcPr>
          <w:p>
            <w:pPr>
              <w:spacing w:after="0"/>
              <w:rPr>
                <w:sz w:val="13"/>
                <w:szCs w:val="13"/>
                <w:color w:val="auto"/>
              </w:rPr>
            </w:pPr>
          </w:p>
        </w:tc>
        <w:tc>
          <w:tcPr>
            <w:tcW w:w="5260" w:type="dxa"/>
            <w:vAlign w:val="bottom"/>
          </w:tcPr>
          <w:p>
            <w:pPr>
              <w:ind w:left="320"/>
              <w:spacing w:after="0"/>
              <w:rPr>
                <w:sz w:val="20"/>
                <w:szCs w:val="20"/>
                <w:color w:val="auto"/>
              </w:rPr>
            </w:pPr>
            <w:r>
              <w:rPr>
                <w:rFonts w:ascii="Arial" w:cs="Arial" w:eastAsia="Arial" w:hAnsi="Arial"/>
                <w:sz w:val="13"/>
                <w:szCs w:val="13"/>
                <w:color w:val="auto"/>
              </w:rPr>
              <w:t>bottom panel.</w:t>
            </w:r>
          </w:p>
        </w:tc>
        <w:tc>
          <w:tcPr>
            <w:tcW w:w="0" w:type="dxa"/>
            <w:vAlign w:val="bottom"/>
          </w:tcPr>
          <w:p>
            <w:pPr>
              <w:spacing w:after="0"/>
              <w:rPr>
                <w:sz w:val="1"/>
                <w:szCs w:val="1"/>
                <w:color w:val="auto"/>
              </w:rPr>
            </w:pPr>
          </w:p>
        </w:tc>
      </w:tr>
    </w:tbl>
    <w:p>
      <w:pPr>
        <w:ind w:left="120" w:right="60"/>
        <w:spacing w:after="0" w:line="238" w:lineRule="auto"/>
        <w:rPr>
          <w:sz w:val="20"/>
          <w:szCs w:val="20"/>
          <w:color w:val="auto"/>
        </w:rPr>
      </w:pPr>
      <w:r>
        <w:rPr>
          <w:rFonts w:ascii="Arial" w:cs="Arial" w:eastAsia="Arial" w:hAnsi="Arial"/>
          <w:sz w:val="18"/>
          <w:szCs w:val="18"/>
          <w:color w:val="auto"/>
        </w:rPr>
        <w:t xml:space="preserve">Our MG29-1 nuclease is a highly active and specific nuclease being used for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T cell engineering in collaboration with Affini-T Therapeutics. Affini-T Therapeutics is developing a cell therapy based on engineering the TCR of T cells to recognize mutant KRAS for the treatment of patients with solid tumors. Figure 38 shows that Affini-T scientists were able to demonstrate that our exemplary type V MG29-1 nuclease can be used to knock-out both alpha and beta TCRs in primary T cells, without any verifiable off-targets. Furthermore, Affini-T scientists showed that the double knock-out improved expression of a transgenic TCR, and that MG29-1 can be used to engineer functional TCR T cells by knock-in of a transgene into the TRAC locus (data not shown).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60"/>
          </w:cols>
          <w:pgMar w:left="320" w:top="455" w:right="519" w:bottom="1440" w:gutter="0" w:footer="0" w:header="0"/>
          <w:type w:val="continuous"/>
        </w:sectPr>
      </w:pPr>
    </w:p>
    <w:bookmarkStart w:id="184" w:name="page185"/>
    <w:bookmarkEnd w:id="184"/>
    <w:p>
      <w:pPr>
        <w:spacing w:after="0" w:line="196" w:lineRule="auto"/>
        <w:framePr w:w="4920" w:h="122" w:wrap="auto" w:vAnchor="page" w:hAnchor="page" w:x="6460" w:y="4581"/>
        <w:rPr>
          <w:rFonts w:ascii="Arial" w:cs="Arial" w:eastAsia="Arial" w:hAnsi="Arial"/>
          <w:sz w:val="13"/>
          <w:szCs w:val="13"/>
          <w:color w:val="auto"/>
        </w:rPr>
      </w:pPr>
      <w:r>
        <w:rPr>
          <w:rFonts w:ascii="Arial" w:cs="Arial" w:eastAsia="Arial" w:hAnsi="Arial"/>
          <w:sz w:val="13"/>
          <w:szCs w:val="13"/>
          <w:color w:val="auto"/>
        </w:rPr>
        <w:t>*     Off-target sites could not be validated with amplicon-based NGS sequencing.</w:t>
      </w: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rFonts w:ascii="Arial" w:cs="Arial" w:eastAsia="Arial" w:hAnsi="Arial"/>
          <w:sz w:val="13"/>
          <w:szCs w:val="13"/>
          <w:color w:val="auto"/>
        </w:rPr>
      </w:pPr>
    </w:p>
    <w:p>
      <w:pPr>
        <w:ind w:left="120"/>
        <w:spacing w:after="0" w:line="271" w:lineRule="auto"/>
        <w:rPr>
          <w:sz w:val="20"/>
          <w:szCs w:val="20"/>
          <w:color w:val="auto"/>
        </w:rPr>
      </w:pPr>
      <w:r>
        <w:rPr>
          <w:rFonts w:ascii="Arial" w:cs="Arial" w:eastAsia="Arial" w:hAnsi="Arial"/>
          <w:sz w:val="18"/>
          <w:szCs w:val="18"/>
          <w:b w:val="1"/>
          <w:bCs w:val="1"/>
          <w:color w:val="auto"/>
        </w:rPr>
        <w:t>Figure 38a</w:t>
      </w:r>
      <w:r>
        <w:rPr>
          <w:rFonts w:ascii="Arial" w:cs="Arial" w:eastAsia="Arial" w:hAnsi="Arial"/>
          <w:sz w:val="18"/>
          <w:szCs w:val="18"/>
          <w:color w:val="auto"/>
        </w:rPr>
        <w:t>. MG29-1 tested in primary human CD4/CD8 T cells showed</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specificity in two loci.</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73660</wp:posOffset>
            </wp:positionH>
            <wp:positionV relativeFrom="paragraph">
              <wp:posOffset>238125</wp:posOffset>
            </wp:positionV>
            <wp:extent cx="2503170" cy="15170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503170" cy="1517015"/>
                    </a:xfrm>
                    <a:prstGeom prst="rect">
                      <a:avLst/>
                    </a:prstGeom>
                    <a:noFill/>
                  </pic:spPr>
                </pic:pic>
              </a:graphicData>
            </a:graphic>
          </wp:anchor>
        </w:drawing>
      </w:r>
    </w:p>
    <w:p>
      <w:pPr>
        <w:spacing w:after="0" w:line="20" w:lineRule="exact"/>
        <w:rPr>
          <w:rFonts w:ascii="Arial" w:cs="Arial" w:eastAsia="Arial" w:hAnsi="Arial"/>
          <w:sz w:val="13"/>
          <w:szCs w:val="13"/>
          <w:color w:val="auto"/>
        </w:rPr>
      </w:pPr>
      <w:r>
        <w:rPr>
          <w:rFonts w:ascii="Arial" w:cs="Arial" w:eastAsia="Arial" w:hAnsi="Arial"/>
          <w:sz w:val="13"/>
          <w:szCs w:val="13"/>
          <w:color w:val="auto"/>
        </w:rPr>
        <w:br w:type="column"/>
      </w:r>
    </w:p>
    <w:p>
      <w:pPr>
        <w:spacing w:after="0" w:line="200" w:lineRule="exact"/>
        <w:rPr>
          <w:rFonts w:ascii="Arial" w:cs="Arial" w:eastAsia="Arial" w:hAnsi="Arial"/>
          <w:sz w:val="13"/>
          <w:szCs w:val="13"/>
          <w:color w:val="auto"/>
        </w:rPr>
      </w:pPr>
    </w:p>
    <w:p>
      <w:pPr>
        <w:spacing w:after="0" w:line="296" w:lineRule="exact"/>
        <w:rPr>
          <w:rFonts w:ascii="Arial" w:cs="Arial" w:eastAsia="Arial" w:hAnsi="Arial"/>
          <w:sz w:val="13"/>
          <w:szCs w:val="13"/>
          <w:color w:val="auto"/>
        </w:rPr>
      </w:pPr>
    </w:p>
    <w:p>
      <w:pPr>
        <w:jc w:val="both"/>
        <w:ind w:right="480"/>
        <w:spacing w:after="0" w:line="253" w:lineRule="auto"/>
        <w:rPr>
          <w:sz w:val="20"/>
          <w:szCs w:val="20"/>
          <w:color w:val="auto"/>
        </w:rPr>
      </w:pPr>
      <w:r>
        <w:rPr>
          <w:rFonts w:ascii="Arial" w:cs="Arial" w:eastAsia="Arial" w:hAnsi="Arial"/>
          <w:sz w:val="18"/>
          <w:szCs w:val="18"/>
          <w:b w:val="1"/>
          <w:bCs w:val="1"/>
          <w:color w:val="auto"/>
        </w:rPr>
        <w:t>Figure 38b</w:t>
      </w:r>
      <w:r>
        <w:rPr>
          <w:rFonts w:ascii="Arial" w:cs="Arial" w:eastAsia="Arial" w:hAnsi="Arial"/>
          <w:sz w:val="18"/>
          <w:szCs w:val="18"/>
          <w:color w:val="auto"/>
        </w:rPr>
        <w:t>. Oligonucleotide capture in primary T cells</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identified putative MG29-1 off-targets. More sensitive methods did not verify such results.</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-1270</wp:posOffset>
            </wp:positionH>
            <wp:positionV relativeFrom="paragraph">
              <wp:posOffset>119380</wp:posOffset>
            </wp:positionV>
            <wp:extent cx="2434590" cy="15601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434590" cy="1560195"/>
                    </a:xfrm>
                    <a:prstGeom prst="rect">
                      <a:avLst/>
                    </a:prstGeom>
                    <a:noFill/>
                  </pic:spPr>
                </pic:pic>
              </a:graphicData>
            </a:graphic>
          </wp:anchor>
        </w:drawing>
      </w:r>
    </w:p>
    <w:p>
      <w:pPr>
        <w:spacing w:after="0" w:line="200" w:lineRule="exact"/>
        <w:rPr>
          <w:rFonts w:ascii="Arial" w:cs="Arial" w:eastAsia="Arial" w:hAnsi="Arial"/>
          <w:sz w:val="13"/>
          <w:szCs w:val="13"/>
          <w:color w:val="auto"/>
        </w:rPr>
      </w:pPr>
    </w:p>
    <w:p>
      <w:pPr>
        <w:sectPr>
          <w:pgSz w:w="11900" w:h="16838" w:orient="portrait"/>
          <w:cols w:equalWidth="0" w:num="2">
            <w:col w:w="5800" w:space="380"/>
            <w:col w:w="4780"/>
          </w:cols>
          <w:pgMar w:left="320" w:top="455" w:right="619" w:bottom="1440" w:gutter="0" w:footer="0" w:header="0"/>
        </w:sect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13" w:lineRule="exact"/>
        <w:rPr>
          <w:rFonts w:ascii="Arial" w:cs="Arial" w:eastAsia="Arial" w:hAnsi="Arial"/>
          <w:sz w:val="13"/>
          <w:szCs w:val="13"/>
          <w:color w:val="auto"/>
        </w:rPr>
      </w:pPr>
    </w:p>
    <w:p>
      <w:pPr>
        <w:ind w:left="120"/>
        <w:spacing w:after="0"/>
        <w:tabs>
          <w:tab w:leader="none" w:pos="6160" w:val="left"/>
        </w:tabs>
        <w:rPr>
          <w:sz w:val="20"/>
          <w:szCs w:val="20"/>
          <w:color w:val="auto"/>
        </w:rPr>
      </w:pPr>
      <w:r>
        <w:rPr>
          <w:rFonts w:ascii="Arial" w:cs="Arial" w:eastAsia="Arial" w:hAnsi="Arial"/>
          <w:sz w:val="13"/>
          <w:szCs w:val="13"/>
          <w:color w:val="auto"/>
        </w:rPr>
        <w:t>*     InDel formation was evaluated for 590 computationally predicted off-targets across TRAC and</w:t>
        <w:tab/>
        <w:t>*     Off-targets had 100-fold fewer barcodes compared with target sites.</w:t>
      </w:r>
    </w:p>
    <w:p>
      <w:pPr>
        <w:spacing w:after="0" w:line="11" w:lineRule="exact"/>
        <w:rPr>
          <w:rFonts w:ascii="Arial" w:cs="Arial" w:eastAsia="Arial" w:hAnsi="Arial"/>
          <w:sz w:val="13"/>
          <w:szCs w:val="13"/>
          <w:color w:val="auto"/>
        </w:rPr>
      </w:pPr>
    </w:p>
    <w:p>
      <w:pPr>
        <w:ind w:left="380"/>
        <w:spacing w:after="0"/>
        <w:rPr>
          <w:sz w:val="20"/>
          <w:szCs w:val="20"/>
          <w:color w:val="auto"/>
        </w:rPr>
      </w:pPr>
      <w:r>
        <w:rPr>
          <w:rFonts w:ascii="Arial" w:cs="Arial" w:eastAsia="Arial" w:hAnsi="Arial"/>
          <w:sz w:val="13"/>
          <w:szCs w:val="13"/>
          <w:color w:val="auto"/>
        </w:rPr>
        <w:t>TRBC, allowing for up to six mismatches.</w:t>
      </w:r>
    </w:p>
    <w:p>
      <w:pPr>
        <w:spacing w:after="0" w:line="149" w:lineRule="exact"/>
        <w:rPr>
          <w:rFonts w:ascii="Arial" w:cs="Arial" w:eastAsia="Arial" w:hAnsi="Arial"/>
          <w:sz w:val="13"/>
          <w:szCs w:val="13"/>
          <w:color w:val="auto"/>
        </w:rPr>
      </w:pPr>
    </w:p>
    <w:p>
      <w:pPr>
        <w:ind w:left="6180"/>
        <w:spacing w:after="0"/>
        <w:rPr>
          <w:sz w:val="20"/>
          <w:szCs w:val="20"/>
          <w:color w:val="auto"/>
        </w:rPr>
      </w:pPr>
      <w:r>
        <w:rPr>
          <w:rFonts w:ascii="Arial" w:cs="Arial" w:eastAsia="Arial" w:hAnsi="Arial"/>
          <w:sz w:val="13"/>
          <w:szCs w:val="13"/>
          <w:color w:val="auto"/>
        </w:rPr>
        <w:t>*     The presence of &gt;9 mismatches in the off-target sites may indicate that they</w:t>
      </w:r>
    </w:p>
    <w:p>
      <w:pPr>
        <w:spacing w:after="0" w:line="11" w:lineRule="exact"/>
        <w:rPr>
          <w:rFonts w:ascii="Arial" w:cs="Arial" w:eastAsia="Arial" w:hAnsi="Arial"/>
          <w:sz w:val="13"/>
          <w:szCs w:val="13"/>
          <w:color w:val="auto"/>
        </w:rPr>
      </w:pPr>
    </w:p>
    <w:p>
      <w:pPr>
        <w:ind w:left="6440"/>
        <w:spacing w:after="0"/>
        <w:rPr>
          <w:sz w:val="20"/>
          <w:szCs w:val="20"/>
          <w:color w:val="auto"/>
        </w:rPr>
      </w:pPr>
      <w:r>
        <w:rPr>
          <w:rFonts w:ascii="Arial" w:cs="Arial" w:eastAsia="Arial" w:hAnsi="Arial"/>
          <w:sz w:val="13"/>
          <w:szCs w:val="13"/>
          <w:color w:val="auto"/>
        </w:rPr>
        <w:t>are not likely to be true positives.</w:t>
      </w:r>
    </w:p>
    <w:p>
      <w:pPr>
        <w:spacing w:after="0" w:line="12" w:lineRule="exact"/>
        <w:rPr>
          <w:rFonts w:ascii="Arial" w:cs="Arial" w:eastAsia="Arial" w:hAnsi="Arial"/>
          <w:sz w:val="13"/>
          <w:szCs w:val="13"/>
          <w:color w:val="auto"/>
        </w:rPr>
      </w:pPr>
    </w:p>
    <w:p>
      <w:pPr>
        <w:ind w:left="120"/>
        <w:spacing w:after="0"/>
        <w:rPr>
          <w:sz w:val="20"/>
          <w:szCs w:val="20"/>
          <w:color w:val="auto"/>
        </w:rPr>
      </w:pPr>
      <w:r>
        <w:rPr>
          <w:rFonts w:ascii="Arial" w:cs="Arial" w:eastAsia="Arial" w:hAnsi="Arial"/>
          <w:sz w:val="18"/>
          <w:szCs w:val="18"/>
          <w:color w:val="auto"/>
        </w:rPr>
        <w:t>Data generated by Affini-T Therapeutics.</w:t>
      </w:r>
    </w:p>
    <w:p>
      <w:pPr>
        <w:spacing w:after="0" w:line="126" w:lineRule="exact"/>
        <w:rPr>
          <w:rFonts w:ascii="Arial" w:cs="Arial" w:eastAsia="Arial" w:hAnsi="Arial"/>
          <w:sz w:val="13"/>
          <w:szCs w:val="13"/>
          <w:color w:val="auto"/>
        </w:rPr>
      </w:pPr>
    </w:p>
    <w:p>
      <w:pPr>
        <w:jc w:val="center"/>
        <w:ind w:right="-27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0960"/>
          </w:cols>
          <w:pgMar w:left="320" w:top="455" w:right="619" w:bottom="1440" w:gutter="0" w:footer="0" w:header="0"/>
          <w:type w:val="continuous"/>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u w:val="single" w:color="auto"/>
          <w:color w:val="auto"/>
        </w:rPr>
        <w:t>Our License and Collaboration Agreements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Moderna Strategic Collaboration and License Agreement</w:t>
      </w:r>
    </w:p>
    <w:p>
      <w:pPr>
        <w:spacing w:after="0" w:line="142"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 xml:space="preserve">On October 29, 2021, the effective date, we entered into a Strategic Collaboration and License Agreement (the “Moderna Agreement”) with Moderna. We will collaborate with Moderna on the research and development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genome editing therapies directed at certain targets and the commercialization of such genome editing therapies. The collaboration provides Moderna with exclusive access to our technology platform during the research period in (1) the field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editing technology for a therapeutic, ameliorative or prophylactic application by way of knock-out through InDel formation or base editing or insertion of an exogenous DNA template (such field, “DT Field”) and (2) the field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editing technology for a therapeutic, ameliorative or prophylactic application outside the use of (a) DNA donor templates and (b) no exogenous template at all but including (c) correction by base editing (such field, “RT Field”). We formed a joint steering committee, a joint research subcommittee and a joint patent subcommittee to oversee the collaboration activities. Each of us and Moderna must use commercially reasonable efforts to perform and complete our respective activities under research plans and commercialization plans approved by the joint steering committee.</w:t>
      </w:r>
    </w:p>
    <w:p>
      <w:pPr>
        <w:spacing w:after="0" w:line="9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Under the terms of the Moderna Agreement, we and Moderna will collaborate on one or more programs in the RT Field (the “Moderna RT program”) and two programs in the DT Field (the “Moderna DT program” and the “DT Co-Co program”). We and Moderna have each granted the other party a non-exclusive license in such party’s (i) background technology, including intellectual property rights controlled by each party related to each respective program, and (ii) the know-how and patents that come into control of each party relating to the program and during the respective program term, in each case to carry out activities in the applicable research programs. We shall own certain intellectual property that relates to our technology platform (“Metagenomi Program Technology”). Moderna shall own certain intellectual property that relates to Moderna’s technology platform (“Moderna Program Technology”). Any intellectual property discovered, invented, conceived or created during an applicable research term that is not Metagenomi Program Technology or Moderna Program Technology shall be jointly owned by us and Moderna. Further, we granted Moderna a perpetual, irrevocable, royalty-free, nonexclusive license under Metagenomi Program Technology to the extent pertaining to the exploitation of donor templates or guides to which Moderna has any inventive contribution.</w:t>
      </w:r>
    </w:p>
    <w:p>
      <w:pPr>
        <w:spacing w:after="0" w:line="118"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With respect to the Moderna RT and Moderna DT programs, we will collaborate on the research and development of product candidates under the approved research plans. The initial research term of the Moderna RT program is four years, which may be extended by Moderna for an additional three years upon written notice and a payment of extension fees. The initial research term of the Moderna DT program is four years. We granted to Moderna an option to obtain an exclusive license to develop, manufacture and commercialize up to ten Moderna RT program candidates and up to two Moderna DT program candidates at any time during the research term and prior to filing of an investigational new drug (“IND”) application with the Food and Drug Administration (“FDA”) or any similar application filed with a regulatory authority in a country other than the United States (“U.S.”), subject to Moderna’s payment of an option exercise fee of $10.0 million per target. If we or any of our affiliates wish to grant any third party rights in certain targets in the DT Program prior to the earlier of the (a) second anniversary of the agreement or (b) 90 days after achievement of certain readiness standards, we shall provide Moderna with written notice thereof and Moderna shall have a right of first negotiation to negotiate an agreement on the terms of a collaboration and license agreement for such targets.</w:t>
      </w:r>
    </w:p>
    <w:p>
      <w:pPr>
        <w:spacing w:after="0" w:line="118"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With respect to the DT Co-Co program, we will work together with Moderna on the co-development and commercialization of products and share costs and profits equally. We granted Moderna a co-exclusive (with us and our affiliates) license under our patents and know-how related to PH1, the DT Co-Co target, to exploit all applications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40"/>
          </w:cols>
          <w:pgMar w:left="320" w:top="455"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such target in the DT Co-Co program. We maintain commercialization rights in the U.S. (subject to Moderna’s right to appoint up to 50% of the U.S. sales force for the DT Co-Co program), while Moderna maintains these rights in countries other than the U.S. The initial research term for the DT Co-Co program is four years, and each party has a right to opt-out of the DT Co-Co program at any time, at which point the other party has the right to solely continue the development and commercialization activities, provided that the party which has opted-out shall have a right of first offer in the event that the other party wishes to grant a license or sublicense to a third party with respect to the DT Co-Co program. If there is no development candidate nomination by the end of the initial research term, the DT Co-Co program will expire, unless we have mutually agreed to continue the program.</w:t>
      </w:r>
    </w:p>
    <w:p>
      <w:pPr>
        <w:spacing w:after="0" w:line="117"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During the year ended December 31, 2021, we received a non-refundable upfront payment of $40.0 million and a $5.0 million payment for the first year of research costs. Concurrent with the Moderna Collaboration Agreement, Moderna also provided $30.0 million in cash in the form of a convertible promissory note pursuant to a convertible promissory note agreement dated October 29, 2021. Moderna will reimburse us up to $5.0 million in annual research and development costs related to the Moderna DT and Moderna RT programs, or up to the agreed amount of expenses per the budget.</w:t>
      </w:r>
    </w:p>
    <w:p>
      <w:pPr>
        <w:spacing w:after="0" w:line="109"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We are eligible to receive (i) technology milestone fees related to the achievement of certain preclinical research objectives of up to $75.0 million, (ii) development and regulatory milestones for the Moderna DT and Moderna RT programs of up to $100.0 million per target, (iii) sales milestones of up to $200.0 million per target, and (iv) royalties ranging from a mid-single digit to a low double-digit percentage of annual net sales of a licensed product. With respect to the DT Co-Co program for which the opt-out party has exercised its opt-out right, the continuing party will pay to the opt-out party, certain development, regulatory and sales milestone payments that will not exceed an aggregate $ 239.0 million per DT Co-Co target, and opt-out royalties ranging from a high-single digit to a low-teens percentage of annual net sales of a licensed product.</w:t>
      </w:r>
    </w:p>
    <w:p>
      <w:pPr>
        <w:spacing w:after="0" w:line="10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 term of the Moderna Agreement will continue on a licensed product-by-licensed product and country-by-country basis until the expiration of the applicable royalty term. The royalty term commences on the first commercial sale of a licensed product and terminates on the latest of: (a) the expiration or abandonment of the last valid claim of a patent within the licensed Moderna DT or RT technology; (b) 10 years after the first commercial sale of a licensed product; and (c) expiration of the regulatory exclusivity. Upon the expiration of the term of a licensed product in the Moderna DT or Moderna RT program, the licenses granted to Moderna will survive and become perpetual, fully paid and royalty-free. Each party may terminate the Moderna Agreement on a program-by-program basis upon written notice to the other party for an uncured material breach or insolvency. In lieu of termination for our material breach, Moderna may, upon written notice, continue the agreement with respect to the relevant collaboration target at Moderna’s amounts payable reduced by 50%, or in the case of a DT Co-Co-Target, Moderna may propose, subject to arbitration, to adjust the profit and loss share for DT Co-Co Products to provide Moderna with an additional share of the net profits (not to exceed 75% of the total net profits). We may terminate the Moderna Agreement upon written notice to Moderna for a patent challenge. Additionally, Moderna may terminate the agreement at its convenience with respect to Moderna DT or Moderna RT programs for any reason upon at least: (a) 60 days’ prior written notice if a first commercial sale has not occurred for the products in such program, or (b) 180 days’ prior written notice if a first commercial sale of a product in such program has occurred. Upon termination, all licenses granted under the agreement with respect to the applicable products under the agreement shall terminate, subject to an orderly wind-down period, provided that any permitted sublicense granted to a third party shall survive (provided such third party did not cause the termination through uncured material breach).</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Affini-T Development, Option and License Agreement</w:t>
      </w:r>
    </w:p>
    <w:p>
      <w:pPr>
        <w:spacing w:after="0" w:line="129" w:lineRule="exact"/>
        <w:rPr>
          <w:sz w:val="20"/>
          <w:szCs w:val="20"/>
          <w:color w:val="auto"/>
        </w:rPr>
      </w:pPr>
    </w:p>
    <w:p>
      <w:pPr>
        <w:ind w:left="120" w:right="480"/>
        <w:spacing w:after="0" w:line="253" w:lineRule="auto"/>
        <w:rPr>
          <w:sz w:val="20"/>
          <w:szCs w:val="20"/>
          <w:color w:val="auto"/>
        </w:rPr>
      </w:pPr>
      <w:r>
        <w:rPr>
          <w:rFonts w:ascii="Arial" w:cs="Arial" w:eastAsia="Arial" w:hAnsi="Arial"/>
          <w:sz w:val="18"/>
          <w:szCs w:val="18"/>
          <w:color w:val="auto"/>
        </w:rPr>
        <w:t>On June 14, 2022, the effective date, we entered into a Development, Option and License Agreement (the “Affini-T Agreement”) with Affini-T. Pursuant to the Affini-T Agreement, we and Affini-T have agreed to identify, develop or optimize certain reagents using our proprietary technology for Affini-T to use such reagents to</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42" w:lineRule="auto"/>
        <w:rPr>
          <w:sz w:val="20"/>
          <w:szCs w:val="20"/>
          <w:color w:val="auto"/>
        </w:rPr>
      </w:pPr>
      <w:r>
        <w:rPr>
          <w:rFonts w:ascii="Arial" w:cs="Arial" w:eastAsia="Arial" w:hAnsi="Arial"/>
          <w:sz w:val="18"/>
          <w:szCs w:val="18"/>
          <w:color w:val="auto"/>
        </w:rPr>
        <w:t>develop and commercialize gene edited TCR-based therapeutic products exclusively in the field of treatment, prevention or diagnosis of any human cancer using products with any engineered primary TCR alpha/beta T cells and non-exclusively in the field of treatment, prevention or diagnosis of any human cancer using products with certain other engineered immune cells worldwide. A joint steering committee was established by both parties to assign alliance managers and project leaders to oversee the collaboration activities. We must use commercially reasonable efforts to perform and complete our obligations under research plans approved by the joint steering committee.</w:t>
      </w:r>
    </w:p>
    <w:p>
      <w:pPr>
        <w:spacing w:after="0" w:line="11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 xml:space="preserve">Pursuant to the Affini-T Agreement, we granted Affini-T options to receive, on a pre-specified target-by-pre-specified target basis, for up to six pre-specified targets, either (i) an exclusive, royalty-bearing, sublicensable worldwide license under all of our applicable intellectual property to research, develop, manufacture, use, commercialize and otherwise exploit any TCR-based therapy, preventative treatment, or diagnostic for humans that is directed to such pre-specified target, contains or comprises Primary TCR alpha/beta T Cells and is derived from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application of a Company reagent (the “Exclusive Option”) or (ii) a non-exclusive, royalty-bearing, sublicensable worldwide license under all our applicable intellectual property to research, develop, manufacture, use commercialize and otherwise exploit any TCR-based therapy, preventative treatment, or diagnostic for humans that is directed to such pre-specified target, contains or comprises TCR NK cells derived from iPSC immune cells or TCR T cells derived from donor-derived or iPSC immune cells. Affini-T can exercise its options for either an exclusive license or a non-exclusive license, or both, for each pre-specified target by providing written notice prior to the earlier of (x) the end of the Affini-T Agreement term or (y) 90 days following the filing of an IND for a licensed product directed to a pre-specified target, subject to the payment of certain fees per each option exercised. After the option exercise, Affini-T has agreed to use commercially reasonable efforts to conduct all development and commercialization activities for a licensed product, and development and commercialization of all licensed products will be at Affini-T’s sole cost and expense.</w:t>
      </w:r>
    </w:p>
    <w:p>
      <w:pPr>
        <w:spacing w:after="0" w:line="113"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 xml:space="preserve">On a target-by-target basis, (1) until the earlier of Affini-T’s (a) exercise of an Exclusive Option, (b) written notice not to exercise an Exclusive Option or (c) expiration of an applicable Exclusive Option or (2) upon exercise of an Exclusive Option, we and our affiliates shall not exploit, or work with any third party to exploit, any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edited products directed to the applicable target covered by such Exclusive Option.</w:t>
      </w:r>
    </w:p>
    <w:p>
      <w:pPr>
        <w:spacing w:after="0" w:line="93"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In connection with the Affini-T Agreement, we received upfront equity consideration of 719,920 shares of Affini-T’s common stock with an estimated fair value of $1.3 million in June 2022. The fair value of Affini-T’s shares of common stock was estimated by our management, considering the most recent third-party valuation. Affini-T has also agreed to reimburse us for expenses incurred while performing research activities under the research plans. Additionally, we are eligible to receive (i) 933,650 shares of Affini-T’s common stock upon the achievement of a regulatory milestone, (ii) up to $18.8 million in future developmental milestone payments and $40.6 million in future regulatory milestone payments for all licensed products directed to a pre-specified target if options for both exclusive and non-exclusive licenses are exercised with respect to such target, (iii) up to $250.0 million in sales-based milestones for aggregate sales of all licensed products directed to a given pre-specified target and (iv) royalties ranging from a low-single digit to high-single digit percentage of worldwide annual net sales of licensed products.</w:t>
      </w:r>
    </w:p>
    <w:p>
      <w:pPr>
        <w:spacing w:after="0" w:line="116"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The initial term of the Affini-T Agreement is five years from the effective date. If Affini-T exercises an Exclusive Option with respect to any pre-specified target during the initial term, the initial term will be extended by an additional five years. Following the expiration of the extended term, if any, the agreement will continue on a target-by-target basis and expire with respect to such target upon the expiration of the royalty term for all licensed products directed to such target. The Affini-T Agreement may be terminated during the term by either party for an uncured material breach by, or bankruptcy of, the other party. Additionally, Affini-T may terminate the Affini-T Agreement for convenience, in its entirety, on a research plan-by-research plan basis, on a target-by-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target basis or on a licensed product-by-licensed product basis, by providing prior written notice. Upon a material breach and with written notice to us, in lieu of termination, Affini-T shall have the right to continue the agreement at payments payable at a certain percentage reduction.</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Ionis Collaboration and License Agreement</w:t>
      </w:r>
    </w:p>
    <w:p>
      <w:pPr>
        <w:spacing w:after="0" w:line="12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 xml:space="preserve">On November 10, 2022, the effective date, we entered into a Collaboration and License Agreement (the “Ionis Agreement”) with Ionis to collaborate on drug discovery and exploratory research activities to advance new medicines using gene editing strategies, with the goal of discovering novel medicines. Pursuant to the terms of the Ionis Agreement, we granted Ionis and its affiliates a worldwide exclusive, royalty-bearing license, with the right to grant sublicenses, to use all licensed systems and licensed products in the field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editing for all therapeutic, prophylactic, palliative, and analgesic uses in humans. In connection with the Ionis Agreement, we also have the right to exercise an exclusive option to co-develop and co -commercialize certain products under a drug discovery program. A joint steering committee was established by both parties to coordinate, oversee, and monitor the research and drug discovery activities under the Ionis Agreement. Each party must use commercially reasonable efforts to perform and complete its respective activities under the applicable program plans approved by the joint steering committee.</w:t>
      </w:r>
    </w:p>
    <w:p>
      <w:pPr>
        <w:spacing w:after="0" w:line="116"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We will collaborate to discover therapeutic products under a drug discovery program and develop a drug discovery plan for each target, selected by Ionis. The target selection is divided into two waves: up to four targets in Wave 1 and up to four targets in Wave 2. For each drug discovery program, once the parties identify a development candidate that is suitable for further development, Ionis will be responsible for the development and commercialization of products resulting from such program. Per the terms of the Ionis Agreement, at any time prior to the designation of a development candidate for a drug discovery program and for any reason, Ionis may replace the collaboration target, provided such target has not previously been substituted out. Ionis may substitute (i) up to two Wave 1 targets and (ii) up to two Wave 2 targets.</w:t>
      </w:r>
    </w:p>
    <w:p>
      <w:pPr>
        <w:spacing w:after="0" w:line="117"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The drug discovery activities for a program commence on the selection of a target and expire upon the earlier of (a) completion of all drug discovery activities for such program, (b) the fifth anniversary of the effective date and (c) selection of a development candidate for such drug discovery program. If one or more Wave 2 targets become collaboration targets as a result of the parties achieving enabled delivery and less than two years are remaining in the drug discovery term, then the term will be extended to the earlier of (i) the time that we complete all of our activities under the applicable drug discovery plan and (ii) the seventh anniversary of the effective date, subject to our consent.</w:t>
      </w:r>
    </w:p>
    <w:p>
      <w:pPr>
        <w:spacing w:after="0" w:line="98"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We will also conduct an exploratory research program, and will jointly optimize gRNA and select delivery technologies and other activities. The exploratory research activities commence on the effective date and expire upon the earlier of (a) completion of all exploratory research activities established in the exploratory research plan, and (b) the fifth anniversary of the effective date.</w:t>
      </w:r>
    </w:p>
    <w:p>
      <w:pPr>
        <w:spacing w:after="0" w:line="101"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We have the exclusive option to co-develop and co-commercialize the licensed products under a drug discovery program (the “Co-Co Option”) with Ionis. The Co-Co Option may be exercised for (a) the initial Wave 1 target (“Target 1”), (b) no more than one of the other three discovery programs for the Wave 1 targets, and (c) no more than two drug discovery programs for the Wave 2 targets that become collaboration targets. If we exercise the Co-Co Option for a particular drug discovery program, that drug discovery program will automatically be deemed a “Co-Co Program”, all corresponding licensed products be deemed “Co-Co Products,” we will be obligated to pay Ionis an option exercise fee, and we will enter into a separate co-development and cocommercialization­ agreement. The Co-Co Option exercise fee will equal 50% of Ionis’ internal costs and out-of-pocket costs incurred in the conduct of the drug discovery activities prior to the exercise of the Co-Co Option and be reduced by 50% of our corresponding costs incurred. Future development and commercialization costs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53" w:lineRule="auto"/>
        <w:rPr>
          <w:sz w:val="20"/>
          <w:szCs w:val="20"/>
          <w:color w:val="auto"/>
        </w:rPr>
      </w:pPr>
      <w:r>
        <w:rPr>
          <w:rFonts w:ascii="Arial" w:cs="Arial" w:eastAsia="Arial" w:hAnsi="Arial"/>
          <w:sz w:val="18"/>
          <w:szCs w:val="18"/>
          <w:color w:val="auto"/>
        </w:rPr>
        <w:t>will be shared equally. We may elect to reduce our cost-share percentage anywhere between 50% and 25% on a go-forward basis, provided we will continue to bear 50% of the costs of any clinical trials ongoing at the time of the election through the completion of the clinical trials.</w:t>
      </w:r>
    </w:p>
    <w:p>
      <w:pPr>
        <w:spacing w:after="0" w:line="101"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We will manufacture all licensed systems and certain components of the applicable licensed products that are needed by Ionis for use in its development activities and all of our manufactured components needed by Ionis for use in its commercialization activities. We will provide the manufactured components at a price that represents the cost of goods plus 15%.</w:t>
      </w:r>
    </w:p>
    <w:p>
      <w:pPr>
        <w:spacing w:after="0" w:line="10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 xml:space="preserve">Pursuant to the terms of the Ionis Agreement, we have also been granted an option to obtain a non-exclusive, royalty-bearing license, with the right to grant sublicenses, for certain Ionis’ background technology to use in up to eight therapeutic products discovered by us in the field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editing and directed to a Collaboration Target (each such product, a “Metagenomi Product” and each such option an “Ionis IP Option”), but subject to encumbrance checks with respect to particular targets. A Collaboration Target is a target that is selected by Ionis, and, with respect to us, is not the subject of discussions with a third party, is not the subject of a contractual grant of rights to a third party nor the subject of an internal bona fide research and development program. If we exercise our Ionis IP Option, we will pay to Ionis up to several million dollars per Metagenomi Product upon achievement of certain clinical and regulatory milestones. We are also obligated to pay Ionis royalties in an amount equal to a low single-digit royalty on the net sales of the applicable Metagenomi Product on product-by-product and country-by-country basis.</w:t>
      </w:r>
    </w:p>
    <w:p>
      <w:pPr>
        <w:spacing w:after="0" w:line="10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In November 2022, we received an $80.0 million upfront payment from Ionis for the Wave 1 drug discovery research collaboration and selected Target 1. Ionis selected its second target (“Target 2”) in Wave 1 in December 2022, and will select two final additional Wave 1 targets (“Target 3” and “Target 4”) within the 12 months from the effective date, as permitted under the arrangement. Ionis has an option to select up to four Wave 2 targets at any time during the drug discovery term, if (a) an IND for any licensed product directed to a Wave 1 target is filed with the applicable regulatory authority or (b) the parties achieve enabled delivery for a non-liver target under the exploratory research activities, by providing written notice and by paying a Wave 2 target selection fee of $15.0 million or $30.0 million, depending on and per the selected target.</w:t>
      </w:r>
    </w:p>
    <w:p>
      <w:pPr>
        <w:spacing w:after="0" w:line="117"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Ionis is obligated to reimburse us for all internal costs and out-of-pocket costs incurred in the performance of the exploratory research activities, up to an aggregate of $10.0 million, and is payable in quarterly installments of $0.5 million during the exploratory research term. We are also eligible to receive (a) up to $29.0 million in future development milestone payments for each licensed product; (b) up to $60.0 million in future regulatory milestone payments for each licensed product; (c) up to $250.0 million in sales-based milestones for each licensed product; and (d) royalties on annual net sales of licensed products from a mid-single-digit to low-teens percentage, subject to customary reductions.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term of the Ionis Agreement will continue until (i) with respect to the drug discovery programs, until the expiration of all applicable royalty terms for a licensed product, (ii) with respect to the Co-Co Programs, until the parties cease all exploitation for the Co-Co Products that are the subject to such Co-Co Program, and (iii) with respect to the Metagenomi Products, until the expiration of the royalty term for a Metagenomi Product. The royalty term ends on the latest of the following two dates: (i) the expiration of (A) the last claim of any issued and unexpired patent, or (B) a claim within a patent application that has not been pending for more than seven years from the earliest date to which the claim or applicable patent application is entitled to claim priority and which claim has not been revoked, cancelled, withdrawn, held invalid, or abandoned, or (ii) 12 years following the first commercial sale of a licensed product.</w:t>
      </w:r>
    </w:p>
    <w:p>
      <w:pPr>
        <w:spacing w:after="0" w:line="104"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The Ionis Agreement may be terminated during the term by either party for an uncured material breach or bankruptcy by the other party. Additionally, Ionis may terminate the Ionis Agreement for convenience and without penalty, in its entirety or on a licensed product-by-licensed product basis, by providing 90 days’ written</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00"/>
          </w:cols>
          <w:pgMar w:left="320" w:top="455" w:right="4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7"/>
          <w:szCs w:val="17"/>
          <w:color w:val="auto"/>
        </w:rPr>
        <w:t>notice. Upon termination, Ionis will transfer to us ownership of all regulatory approvals, and all licenses granted under the agreement with respect to the applicable products under the agreement shall terminate, subject to an orderly wind-down period and a right for Ionis to sell or otherwise dispose of applicable products on hand at the time of such termination. Upon our written request within 30 days following termination, Ionis will grant us an exclusive, royalty-bearing (as agreed by the parties at such time), right and license, with the right to grant sublicenses through multiple tiers, to patent rights and know-how controlled by Ionis and used in the development, commercialization, or exploitation of terminated products, solely for the exploitation of such terminated products in the terminated countries.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u w:val="single" w:color="auto"/>
          <w:color w:val="auto"/>
        </w:rPr>
        <w:t>Competition</w:t>
      </w:r>
    </w:p>
    <w:p>
      <w:pPr>
        <w:spacing w:after="0" w:line="135"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pharmaceutical and biotechnology industries, including the gene therapy and genome editing fields, are characterized by rapidly advancing technologies, intense competition, and a reliance on strong intellectual property. We believe our metagenomics powered discovery platform along with our expertise in genome editing, drug discovery, clinical development, manufacturing and our ever-increasing IP portfolio, provide us with several key competitive advantages over our peers. Despite our competitive advantages, we face competition from several companies. There are numerous publicly traded companies utilizing CRISPR/Cas nuclease technology, including Caribou Biosciences, Inc., Editas Medicine, Inc., CRISPR Therapeutics AG, Intellia Therapeutics, Inc., and Graphite Bio, Inc., among others. Beam Therapeutics Inc. and Verve Therapeutics, Inc. utilize base editing technology and Prime Medicine utilizes prime editing technology. Several other companies such as Sangamo Therapeutics, Inc., Precision BioSciences, Inc., Cellectis S.A., and bluebird bio, Inc. utilize first-generation nuclease-based genome editing technologies, including ZFNs, engineered meganucleases and TALENs. We also face competition from companies utilizing gene therapy, oligonucleotides, and CAR-T therapeutic approaches.</w:t>
      </w:r>
    </w:p>
    <w:p>
      <w:pPr>
        <w:spacing w:after="0" w:line="112"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color w:val="auto"/>
        </w:rPr>
        <w:t>There are several other private companies such as Arbor Biotech, Chroma Medicine, Inc., Mammoth Biosciences, Scribe Therapeutics, Tessera Therapeutics, Tome Biosciences, and Tune Therapeutics, Inc. that have announced they are working on genome- and epigenome-editing therapies.</w:t>
      </w:r>
    </w:p>
    <w:p>
      <w:pPr>
        <w:spacing w:after="0" w:line="101"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Any product candidates that we successfully develop and commercialize will compete with existing therapies and new therapies that may become available in the future that are approved to treat the same diseases for which we may obtain approval for our product candidates. This may include other genome editing companies using antiquated or next generation genome editing approaches or other types of therapies, such as small molecule, antibody, and/or protein therapies.</w:t>
      </w:r>
    </w:p>
    <w:p>
      <w:pPr>
        <w:spacing w:after="0" w:line="9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In addition, many of our current or potential competitors, either alone or with their collaboration partners, have significantly greater financial resources and expertise in research and development, manufacturing, preclinical testing, conducting clinical trials and approved products than we do today.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We also compete with these companies in recruiting, hiring, and retaining qualified scientific and management talent, establishing clinical trial sites and patient registration for clinical trials, obtaining manufacturing slots at contract manufacturing organizations. Our commercial opportunity could be reduced or eliminated if our competitors develop and commercialize products that are safer, more effective, particularly if they represent cures,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a strong market position before we are able to enter the market. The key competitive factors affecting the success of all of our programs are likely to be their efficacy, safety, convenience, and availability of reimbursement.</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22"/>
          <w:szCs w:val="22"/>
          <w:b w:val="1"/>
          <w:bCs w:val="1"/>
          <w:u w:val="single" w:color="auto"/>
          <w:color w:val="auto"/>
        </w:rPr>
        <w:t>Manufacturing</w:t>
      </w:r>
    </w:p>
    <w:p>
      <w:pPr>
        <w:spacing w:after="0" w:line="148"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Our genome editing technology is composed of multiple genome editing components including the nuclease, mRNA, gRNA, and in some instances may include a donor DNA or RNA template for insertions. We have extensively characterized each of these components and have made significant investment in scalable manufacturing and process automation to meet stringent current good manufacturing practices (“cGMP”). Our in-house cGMP facility is capable of manufacturing clinical grade nucleases and mRNA to supply both wholly-owned and collaboration programs. We partner with contact manufacturing organizations (“CMOs”) for gRNA and DNA template development and supply and continue to invest in both viral and non-viral delivery technologies internally and with partners. We believe our ability to develop, characterize, and manufacture complex human genome editing components is essential to maintaining a competitive edge while pursuing a successful regulatory pathway for genetic medicine.</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u w:val="single" w:color="auto"/>
          <w:color w:val="auto"/>
        </w:rPr>
        <w:t>Intellectual Property</w:t>
      </w:r>
    </w:p>
    <w:p>
      <w:pPr>
        <w:spacing w:after="0" w:line="148" w:lineRule="exact"/>
        <w:rPr>
          <w:sz w:val="20"/>
          <w:szCs w:val="20"/>
          <w:color w:val="auto"/>
        </w:rPr>
      </w:pPr>
    </w:p>
    <w:p>
      <w:pPr>
        <w:ind w:left="120" w:right="300"/>
        <w:spacing w:after="0" w:line="244" w:lineRule="auto"/>
        <w:rPr>
          <w:sz w:val="20"/>
          <w:szCs w:val="20"/>
          <w:color w:val="auto"/>
        </w:rPr>
      </w:pPr>
      <w:r>
        <w:rPr>
          <w:rFonts w:ascii="Arial" w:cs="Arial" w:eastAsia="Arial" w:hAnsi="Arial"/>
          <w:sz w:val="18"/>
          <w:szCs w:val="18"/>
          <w:color w:val="auto"/>
        </w:rPr>
        <w:t>Our success depends in large part upon our ability to obtain and maintain our technology and intellectual property. To protect our intellectual property rights, we primarily rely on patents and trade secret laws, confidentiality procedures, and employee disclosure and invention assignment agreements. Our intellectual property is critical to our business and we strive to protect it through a variety of approaches, including by obtaining and maintaining patent protection in various countries for our genome editing technology and other inventions that are important to our business.</w:t>
      </w:r>
    </w:p>
    <w:p>
      <w:pPr>
        <w:spacing w:after="0" w:line="95" w:lineRule="exact"/>
        <w:rPr>
          <w:sz w:val="20"/>
          <w:szCs w:val="20"/>
          <w:color w:val="auto"/>
        </w:rPr>
      </w:pPr>
    </w:p>
    <w:p>
      <w:pPr>
        <w:ind w:left="120" w:right="380"/>
        <w:spacing w:after="0" w:line="253"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from its earliest U.S. non-provisional filing date. The time required for development, testing, and regulatory review of our genome editing systems limits the commercially useful lifespan of our patents.</w:t>
      </w:r>
    </w:p>
    <w:p>
      <w:pPr>
        <w:spacing w:after="0" w:line="101"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The patent positions of companies like ours are generally uncertain and involve complex legal and factual questions. No consistent policy regarding the scope of patentable claims in the field of genome editing has emerged, for example, in the United States and in Europe. Changes in the patent laws and rules, either by legislation, judicial decisions, or regulatory interpretation may diminish our ability to protect our inventions and enforce our intellectual property rights. These changes could affect the scope and value of our intellectual property.</w:t>
      </w:r>
    </w:p>
    <w:p>
      <w:pPr>
        <w:spacing w:after="0" w:line="92"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Filing, prosecuting, enforcing, and defending patents protecting our genome editing systems in all countries throughout the world would be prohibitively expensive. We cannot seek patent protection for our genome editing systems throughout the world. Furthermore, the intellectual property rights we obtain in some countries outside the United States can be less extensive than those obtained in the United States. The requirements for patentability may differ in certain countries, particularly in developing countries; thus, even in countries where we do pursue patent protection, there can be no assurance that any patents will issue with claims that cover our products.</w:t>
      </w:r>
    </w:p>
    <w:p>
      <w:pPr>
        <w:spacing w:after="0" w:line="95"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Our ability to stop third parties from infringing any of our patented inventions, either directly or indirectly, will depend in part on our success in obtaining, defending, and enforcing patent claims that cover our genome editing systems. We cannot be sure that any patents will be granted with respect to any of our pending patent applications or with respect to any patent applications filed by us in the future. We cannot be sure that any of our existing patents or any patents that may be granted to us in the future will be found by a court to be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00"/>
          </w:cols>
          <w:pgMar w:left="320" w:top="455" w:right="4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enforceable. Protecting our competitive position around our genome editing systems may involve lawsuits to enforce our patents or other intellectual property, which is expensive and time consuming, and may ultimately be unsuccessful. Furthermore, our issued patents and those that may issue in the future may be challenged, narrowed, circumvented, or invalidated, which could limit our ability to stop competitors from marketing related genome editing systems or limit the length of the term of patent protection that we may have for our genome editing systems and future gene therapies. We cannot be sure that any of our existing patents or any patents that may be granted to us in the future will be useful in protecting our commercialized genome editing systems. The rights granted under any issued patents may not provide us with complete protection or competitive advantages against competitors with similar but not identical technology or technologies that achieve similar outcomes but with different approaches. For these reasons, we may have competition for our genome editing systems.</w:t>
      </w:r>
    </w:p>
    <w:p>
      <w:pPr>
        <w:spacing w:after="0" w:line="116" w:lineRule="exact"/>
        <w:rPr>
          <w:sz w:val="20"/>
          <w:szCs w:val="20"/>
          <w:color w:val="auto"/>
        </w:rPr>
      </w:pPr>
    </w:p>
    <w:p>
      <w:pPr>
        <w:ind w:left="120" w:right="380"/>
        <w:spacing w:after="0" w:line="253" w:lineRule="auto"/>
        <w:rPr>
          <w:sz w:val="20"/>
          <w:szCs w:val="20"/>
          <w:color w:val="auto"/>
        </w:rPr>
      </w:pPr>
      <w:r>
        <w:rPr>
          <w:rFonts w:ascii="Arial" w:cs="Arial" w:eastAsia="Arial" w:hAnsi="Arial"/>
          <w:sz w:val="18"/>
          <w:szCs w:val="18"/>
          <w:color w:val="auto"/>
        </w:rPr>
        <w:t>Our issued patents and those that may issue in the future do not guarantee us the right to practice our genome editing systems. Third parties may have issued patents or be granted patents in the future that could block our ability to commercialize our genome editing systems.</w:t>
      </w:r>
    </w:p>
    <w:p>
      <w:pPr>
        <w:spacing w:after="0" w:line="101"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We and third parties rely on trade secrets to protect certain aspects of our genome editing systems. If we are unable to protect the confidentiality of our trade secrets, our competitive position could be harmed. Furthermore, reliance on trade secrets does not prevent third parties from independently inventing those aspects of our genome editing systems. While we take commercially reasonable steps to ensure that our employees do not use the trade secrets of third parties, third parties may file claims asserting that we or our employees have misappropriated their trade secret.</w:t>
      </w:r>
    </w:p>
    <w:p>
      <w:pPr>
        <w:spacing w:after="0" w:line="95"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color w:val="auto"/>
        </w:rPr>
        <w:t>For this and other risks related to our technology, inventions, improvements, platforms, and genome editing technology, please see the section entitled “Risk Factors—Risks Related to Our Intellectual Property.”</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Patent Portfolio</w:t>
      </w:r>
    </w:p>
    <w:p>
      <w:pPr>
        <w:spacing w:after="0" w:line="129"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As of June 30, 2023, we own two issued U.S. patents, 13 pending U.S. non-provisional patent applications, 46 pending U.S. provisional patent applications, 75 pending foreign patent applications, including in Australia, Canada, China, Europe, Great Britain, Hong Kong, India, Japan, Korea, Mexico and Brazil, and 25 Patent Cooperation Treaty (“PCT”) patent applications.</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patent portfolios for our genome editing systems as of June 30, 2023 are summarized below.</w:t>
      </w:r>
    </w:p>
    <w:p>
      <w:pPr>
        <w:spacing w:after="0" w:line="144"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Our type II CRISPR systems are protected by two issued U.S. patents, three pending U.S. non-provisional patent applications, two pending U.S. provisional patent applications, two issued foreign patents, including in Great Britain and Mexico, 24 pending foreign patent applications, including in Australia, Canada, China, Europe, Great Britain, Hong Kong, India, Japan, Korea, Mexico, and Brazil, and two PCT patent applications. The aforementioned issued US patents will expire on February 14, 2040, and the issued foreign patents will expire on February 14, 2040. If issued, the aforementioned patent applications are expected to expire between February 14, 2040 and May 6, 2041.</w:t>
      </w:r>
    </w:p>
    <w:p>
      <w:pPr>
        <w:spacing w:after="0" w:line="98"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Our type V CRISPR systems are protected by three pending U.S. non-provisional patent applications, three pending U.S. provisional patent applications, one issued foreign patent, including in Great Britain, 10 pending foreign patent applications, including in Australia, Canada, China, Europe, Great Britain, Hong Kong, India, Japan, South Korea, and Mexico, and one PCT patent application. If issued, the aforementioned patent applications are expected to expire between March 6, 2041 and July 29, 2043. The aforementioned issued foreign patents will expire on March 6, 2041.</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00"/>
          </w:cols>
          <w:pgMar w:left="320" w:top="455" w:right="4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47" w:lineRule="auto"/>
        <w:rPr>
          <w:sz w:val="20"/>
          <w:szCs w:val="20"/>
          <w:color w:val="auto"/>
        </w:rPr>
      </w:pPr>
      <w:r>
        <w:rPr>
          <w:rFonts w:ascii="Arial" w:cs="Arial" w:eastAsia="Arial" w:hAnsi="Arial"/>
          <w:sz w:val="18"/>
          <w:szCs w:val="18"/>
          <w:color w:val="auto"/>
        </w:rPr>
        <w:t>Our base editor systems are protected by three pending U.S. non-provisional patent applications, one pending U.S. provisional patent applications, 12 pending foreign patent applications, including in Australia, Canada, China, Europe, Great Britain, Hong Kong, India, Japan, Korea, Mexico, and Brazil, and one PCT patent applications. If issued, the aforementioned patent applications are expected to expire on September 10, 2041.</w:t>
      </w:r>
    </w:p>
    <w:p>
      <w:pPr>
        <w:spacing w:after="0" w:line="106" w:lineRule="exact"/>
        <w:rPr>
          <w:sz w:val="20"/>
          <w:szCs w:val="20"/>
          <w:color w:val="auto"/>
        </w:rPr>
      </w:pPr>
    </w:p>
    <w:p>
      <w:pPr>
        <w:ind w:left="120" w:right="460"/>
        <w:spacing w:after="0" w:line="247" w:lineRule="auto"/>
        <w:rPr>
          <w:sz w:val="20"/>
          <w:szCs w:val="20"/>
          <w:color w:val="auto"/>
        </w:rPr>
      </w:pPr>
      <w:r>
        <w:rPr>
          <w:rFonts w:ascii="Arial" w:cs="Arial" w:eastAsia="Arial" w:hAnsi="Arial"/>
          <w:sz w:val="18"/>
          <w:szCs w:val="18"/>
          <w:color w:val="auto"/>
        </w:rPr>
        <w:t>Our CAST systems are protected by two pending U.S. non-provisional patent applications, one pending U.S. provisional patent application, 17 pending foreign patent applications, including in Australia, Brazil, Canada, China, Europe, Great Britain, India, Japan, South Korea, and Mexico, and two PCT patent applications. If issued, the aforementioned patent applications are expired to expire between August 23, 2041 and March 23, 2043.</w:t>
      </w:r>
    </w:p>
    <w:p>
      <w:pPr>
        <w:spacing w:after="0" w:line="106"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Our Cas chimera systems are protected by one pending U.S. non-provisional patent application, two pending foreign patent applications, including in Great Britain and Hong Kong, and three PCT patent applications. If issued, the aforementioned patent applications are expected to expire on January 21, 2042.</w:t>
      </w:r>
    </w:p>
    <w:p>
      <w:pPr>
        <w:spacing w:after="0" w:line="88"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Our SMART nuclease systems are protected by one pending U.S. non-provisional patent application, one pending U.S. provisional patent application, 10 pending foreign patent applications, including in Australia, Canada, China, Europe, Great Britain, Hong Kong, India, Japan, Korea, and Mexico, and two PCT patent applications. If issued, the aforementioned patent applications are expected to expire on March 31, 2040.</w:t>
      </w:r>
    </w:p>
    <w:p>
      <w:pPr>
        <w:spacing w:after="0" w:line="106"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We cannot predict whether the patent applications we pursue or may license in the future will issue as patents in any particular jurisdiction or whether the claims of any issued patents will provide any protection from competitors. Even if our pending patent applications are granted as issued patents, those patents, as well as any patents we may license in the future from third parties now or in the future, may be challenged, circumvented or invalidated by third parties. Consequently, we may not obtain or maintain adequate patent protection for any of our programs and genome editing systems.</w:t>
      </w:r>
    </w:p>
    <w:p>
      <w:pPr>
        <w:spacing w:after="0" w:line="10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earliest date of filing of a non-provisional patent application. In the United States, the patent term of a patent may be extended by patent term adjustment, which compensates the patent owner for patent office delays. Additionally, in the United States, patents that cover a FDA-approved drug or biologic may also be eligible for patent term extension, which permits patent term restoration as compensation for the patent term lost during FDA regulatory review process. The Hatch-Waxman Act permits a patent term extension of up to five years beyond the expiration of the patent. The length of the patent term extension is related to the length of time the drug or biologic is under regulatory review. Patent term extension cannot extend the remaining term of a patent beyond a total of 14 years from the date of product approval, only one patent applicable to an approved drug or biologic may be extended and only those claims covering the approved drug or biologic, a method for using it, or a method for manufacturing it may be extended. Similar provisions are available in European Member States and other foreign jurisdictions to extend the term of a patent that covers an approved drug or biologic. In the future, if our investigational gene therapies receive FDA approval, we expect to apply for patent term extensions where applicable on patents covering those products. We plan to seek patent term extensions to any of our issued patents in any jurisdiction where these are available, however there is no guarantee that the applicable authorities, including the U.S. Patent and Trademark Office (“USPTO”) in the United States, will agree with our assessment of whether these extensions should be granted, and if granted, the length of these extensions.</w:t>
      </w:r>
    </w:p>
    <w:p>
      <w:pPr>
        <w:spacing w:after="0" w:line="107"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color w:val="auto"/>
        </w:rPr>
        <w:t>Our intellectual property is critical to our business and we strive to protect it through a variety of approaches, including by obtaining and maintaining patent protection in various countries for our genome editing technology and other inventions that are important to our business.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00"/>
          </w:cols>
          <w:pgMar w:left="320" w:top="455" w:right="4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Trademarks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June 30, 2023, we own the trademark registrations for Metagenomi in the United States.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Trade Secrets and Proprietary Information</w:t>
      </w:r>
    </w:p>
    <w:p>
      <w:pPr>
        <w:spacing w:after="0" w:line="14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addition to our reliance on patent protection for our inventions, investigational gene therapies and research programs, we also rely on trade secrets, know-how, confidentiality agreements and continuing technological innovation to develop and maintain our competitive position. Although we take steps to protect our proprietary information and trade secrets, including through contractual means with our employees, advisors and consultants, these agreements may be breached and we may not have adequate remedies for any breach. In addition, third parties may independently develop substantially equivalent proprietary information and techniques or otherwise gain access to our trade secrets or disclose our technology. As a result,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of by the individual during the course of employment, and which relate to or are reasonably capable or being used in our current or planned business or research and development are our exclusive property. In addition, we take other appropriate precautions, such as physical and technological security measures, to guard against misappropriation of our technology by third parties. However, such agreements and policies may be breached and we may not have adequate remedies for such breaches. For more information regarding the risks related to our intellectual property, see “Risk Factors—Risks Related to Our Intellectual Property.”</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22"/>
          <w:szCs w:val="22"/>
          <w:b w:val="1"/>
          <w:bCs w:val="1"/>
          <w:u w:val="single" w:color="auto"/>
          <w:color w:val="auto"/>
        </w:rPr>
        <w:t>Government Regulation</w:t>
      </w:r>
    </w:p>
    <w:p>
      <w:pPr>
        <w:spacing w:after="0" w:line="148" w:lineRule="exact"/>
        <w:rPr>
          <w:sz w:val="20"/>
          <w:szCs w:val="20"/>
          <w:color w:val="auto"/>
        </w:rPr>
      </w:pPr>
    </w:p>
    <w:p>
      <w:pPr>
        <w:ind w:left="120" w:right="260"/>
        <w:spacing w:after="0"/>
        <w:rPr>
          <w:sz w:val="20"/>
          <w:szCs w:val="20"/>
          <w:color w:val="auto"/>
        </w:rPr>
      </w:pPr>
      <w:r>
        <w:rPr>
          <w:rFonts w:ascii="Arial" w:cs="Arial" w:eastAsia="Arial" w:hAnsi="Arial"/>
          <w:sz w:val="18"/>
          <w:szCs w:val="18"/>
          <w:color w:val="auto"/>
        </w:rPr>
        <w:t>In the United States, biological products, including gene therapy products, are subject to regulation under the Federal Food, Drug, and Cosmetic Act (“FD&amp;C Act”), and the Public Health Service Act (“PHS Act”), and other federal, state, local and foreign statutes and regulations. Both the FD&amp;C Act and the PHS Act and their corresponding regulations govern, among other things, the research, development, clinical trial, testing, manufacturing, safety, efficacy, labeling, packaging, storage, record keeping, distribution, reporting, advertising, and other promotional practices involving biological products. Each clinical trial protocol for a gene therapy product must be reviewed by the FDA. FDA approval must be obtained before the marketing of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Biological Product Development Process</w:t>
      </w:r>
    </w:p>
    <w:p>
      <w:pPr>
        <w:spacing w:after="0" w:line="142"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color w:val="auto"/>
        </w:rPr>
        <w:t>The process required by the FDA before a biological product candidate may be marketed in the United States generally involves the following:</w:t>
      </w:r>
    </w:p>
    <w:p>
      <w:pPr>
        <w:spacing w:after="0" w:line="86" w:lineRule="exact"/>
        <w:rPr>
          <w:sz w:val="20"/>
          <w:szCs w:val="20"/>
          <w:color w:val="auto"/>
        </w:rPr>
      </w:pPr>
    </w:p>
    <w:p>
      <w:pPr>
        <w:ind w:left="340" w:right="540" w:hanging="224"/>
        <w:spacing w:after="0" w:line="271"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(“GLPs”), unless justified and applicable requirements for the humane use of laboratory animals or other applicable regulations;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40"/>
          </w:cols>
          <w:pgMar w:left="320" w:top="455"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trials may begin;</w:t>
      </w:r>
    </w:p>
    <w:p>
      <w:pPr>
        <w:spacing w:after="0" w:line="144" w:lineRule="exact"/>
        <w:rPr>
          <w:rFonts w:ascii="Arial" w:cs="Arial" w:eastAsia="Arial" w:hAnsi="Arial"/>
          <w:sz w:val="18"/>
          <w:szCs w:val="18"/>
          <w:color w:val="auto"/>
        </w:rPr>
      </w:pPr>
    </w:p>
    <w:p>
      <w:pPr>
        <w:ind w:left="340" w:right="280" w:hanging="224"/>
        <w:spacing w:after="0" w:line="271"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approval of the protocol and related documentation by an independent institutional review board (“IRB”), or ethics committee at each clinical trial site before each study may be initiated;</w:t>
      </w:r>
    </w:p>
    <w:p>
      <w:pPr>
        <w:spacing w:after="0" w:line="86" w:lineRule="exact"/>
        <w:rPr>
          <w:rFonts w:ascii="Arial" w:cs="Arial" w:eastAsia="Arial" w:hAnsi="Arial"/>
          <w:sz w:val="18"/>
          <w:szCs w:val="18"/>
          <w:color w:val="auto"/>
        </w:rPr>
      </w:pPr>
    </w:p>
    <w:p>
      <w:pPr>
        <w:ind w:left="340" w:right="100" w:hanging="224"/>
        <w:spacing w:after="0" w:line="253"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regulations commonly referred to as good clinical practices (“GCPs”), and any additional requirements for the protection of human research subjects and their health information, to establish the safety and efficacy of the proposed biological product for its intended use;</w:t>
      </w:r>
    </w:p>
    <w:p>
      <w:pPr>
        <w:spacing w:after="0" w:line="101" w:lineRule="exact"/>
        <w:rPr>
          <w:rFonts w:ascii="Arial" w:cs="Arial" w:eastAsia="Arial" w:hAnsi="Arial"/>
          <w:sz w:val="18"/>
          <w:szCs w:val="18"/>
          <w:color w:val="auto"/>
        </w:rPr>
      </w:pPr>
    </w:p>
    <w:p>
      <w:pPr>
        <w:ind w:left="340" w:right="40" w:hanging="224"/>
        <w:spacing w:after="0" w:line="253"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submission to the FDA of a biologics license application (“BLA”), for regulatory approval that includes sufficient evidence of establishing the safety, purity and potency of the proposed biological product for its intended indication, including from results of nonclinical testing and clinical trials;</w:t>
      </w:r>
    </w:p>
    <w:p>
      <w:pPr>
        <w:spacing w:after="0" w:line="101" w:lineRule="exact"/>
        <w:rPr>
          <w:rFonts w:ascii="Arial" w:cs="Arial" w:eastAsia="Arial" w:hAnsi="Arial"/>
          <w:sz w:val="18"/>
          <w:szCs w:val="18"/>
          <w:color w:val="auto"/>
        </w:rPr>
      </w:pPr>
    </w:p>
    <w:p>
      <w:pPr>
        <w:ind w:left="340" w:right="20" w:hanging="224"/>
        <w:spacing w:after="0" w:line="247"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 and, if applicable, the FDA’s current good tissue practices (“CGTPs”), for the use of human cellular and tissue products;</w:t>
      </w:r>
    </w:p>
    <w:p>
      <w:pPr>
        <w:spacing w:after="0" w:line="106" w:lineRule="exact"/>
        <w:rPr>
          <w:rFonts w:ascii="Arial" w:cs="Arial" w:eastAsia="Arial" w:hAnsi="Arial"/>
          <w:sz w:val="18"/>
          <w:szCs w:val="18"/>
          <w:color w:val="auto"/>
        </w:rPr>
      </w:pPr>
    </w:p>
    <w:p>
      <w:pPr>
        <w:ind w:left="340" w:right="160" w:hanging="224"/>
        <w:spacing w:after="0" w:line="271"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potential FDA audit of the nonclinical study and clinical trial sites that generated the data in support of the BLA in accordance with any applicable expedited programs or designations;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where appropriate or if applicable;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a fee waiver applies);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144"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Before testing any biological product candidate, including a gene therapy product, in humans, the product candidate enters the preclinical testing stage. Preclinical tests, also referred to as nonclinical studies, include laboratory evaluations of product biological characteristics, chemistry, toxicity, and formulation, as well as animal studies to assess the potential safety and activity of the product candidate. The conduct of the preclinical tests must comply with federal regulations and requirements including GLPs.</w:t>
      </w:r>
    </w:p>
    <w:p>
      <w:pPr>
        <w:spacing w:after="0" w:line="10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An IND is an exemption from the FD&amp;C Act that allows an investigational product candidate to be shipped in interstate commerce for use in a clinical trial and a request for FDA authorization to administer such investigational product candidate to humans. Such authorization must be secured prior to interstate shipment and administration of any product candidate that is not the subject of an approved BLA.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the FDA may raise concerns or questions about the conduct of the trials as outlined in the IND and impose a clinical hold or partial clinical hold. In this case, the IND sponsor and the FDA must resolve any outstanding concerns before clinical trials can begin.</w:t>
      </w:r>
    </w:p>
    <w:p>
      <w:pPr>
        <w:spacing w:after="0" w:line="105" w:lineRule="exact"/>
        <w:rPr>
          <w:sz w:val="20"/>
          <w:szCs w:val="20"/>
          <w:color w:val="auto"/>
        </w:rPr>
      </w:pPr>
    </w:p>
    <w:p>
      <w:pPr>
        <w:jc w:val="both"/>
        <w:ind w:left="120" w:right="140"/>
        <w:spacing w:after="0" w:line="253" w:lineRule="auto"/>
        <w:rPr>
          <w:sz w:val="20"/>
          <w:szCs w:val="20"/>
          <w:color w:val="auto"/>
        </w:rPr>
      </w:pPr>
      <w:r>
        <w:rPr>
          <w:rFonts w:ascii="Arial" w:cs="Arial" w:eastAsia="Arial" w:hAnsi="Arial"/>
          <w:sz w:val="18"/>
          <w:szCs w:val="18"/>
          <w:color w:val="auto"/>
        </w:rPr>
        <w:t>Following commencement of a clinical trial,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requested under the IND.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w:t>
      </w:r>
    </w:p>
    <w:p>
      <w:pPr>
        <w:spacing w:after="0" w:line="109"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A sponsor may choose, but is not required, to conduct a foreign clinical trial under an IND. When a foreign clinical trial is conducted under an IND, all FDA IND requirements must be met unless waived. When a foreign clinical trial is not conducted under an IND, the sponsor must ensure that the study complies with certain regulatory requirements of the FDA in order to use the study as support for an IND or application for regulatory approval or licensing. In particular, such studies must be conducted in accordance with GCP, including review and approval by an independent ethics committee (“IEC”), and informed consent from subjects. The FDA must be able to validate the data through an onsite inspection, if deemed necessary by the FDA.</w:t>
      </w:r>
    </w:p>
    <w:p>
      <w:pPr>
        <w:spacing w:after="0" w:line="111"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 Some trials are overseen by an independent group of qualified experts organized by the trial sponsor, known as a data safety monitoring board or committee (“DSMB”). This group provides authorization as to whether or not a trial may move forward at designated check points based on access that only the group maintains to available data from the study.</w:t>
      </w:r>
    </w:p>
    <w:p>
      <w:pPr>
        <w:spacing w:after="0" w:line="10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In addition to the submission of an IND to the FDA before initiation of a clinical trial in the United States, certain human clinical trials involving recombinant or synthetic nucleic acid molecules may be subject to oversight of institutional biosafety committees (“IBCs”), as set forth in the National Institutes of Health (“NIH”), Guidelines for Research Involving Recombinant or Synthetic Nucleic Acid Molecules (“NIH Guidelines”). Under the NIH Guidelines, recombinant and synthetic nucleic acids are defined as: (i) molecules that are constructed by joining nucleic acid molecules that can replicate in a living cell (i.e., recombinant nucleic acids); (ii) nucleic acid molecules that are chemically or by other means synthesized or amplified, including those that are chemically or otherwise modified but can base pair with naturally occurring nucleic acid molecules (i.e., synthetic nucleic acids); or (iii) molecules that result from the replication of those described in (i) or (ii).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for recombinant or synthetic nucleic acid molecule research, many companies and other institutions not otherwise subject to the NIH Guidelines voluntarily follow them.</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Clinical trials typically are conducted in three sequential phases that may overlap or be combined:</w:t>
      </w:r>
    </w:p>
    <w:p>
      <w:pPr>
        <w:spacing w:after="0" w:line="144" w:lineRule="exact"/>
        <w:rPr>
          <w:sz w:val="20"/>
          <w:szCs w:val="20"/>
          <w:color w:val="auto"/>
        </w:rPr>
      </w:pPr>
    </w:p>
    <w:p>
      <w:pPr>
        <w:ind w:left="340" w:right="60" w:hanging="224"/>
        <w:spacing w:after="0" w:line="253"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Phase 1. The biological product candidate is initially introduced into healthy human subjects and tested for safety. In the case of some biological product candidates for severe or life-threatening diseases, especially when the product candidate may be too inherently toxic to ethically administer to healthy volunteers, the initial human testing is often conducted in patients.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right="220" w:hanging="224"/>
        <w:spacing w:after="0" w:line="253"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Phase 2. The biological product candidate is evaluated in a limited patient population to identify possible adverse effects and safety risks, to preliminarily evaluate the efficacy of the product candidate for specific targeted diseases and to determine dosage tolerance, optimal dosage and dosing schedule.</w:t>
      </w:r>
    </w:p>
    <w:p>
      <w:pPr>
        <w:spacing w:after="0" w:line="101" w:lineRule="exact"/>
        <w:rPr>
          <w:rFonts w:ascii="Arial" w:cs="Arial" w:eastAsia="Arial" w:hAnsi="Arial"/>
          <w:sz w:val="18"/>
          <w:szCs w:val="18"/>
          <w:color w:val="auto"/>
        </w:rPr>
      </w:pPr>
    </w:p>
    <w:p>
      <w:pPr>
        <w:ind w:left="340" w:right="40" w:hanging="224"/>
        <w:spacing w:after="0" w:line="253"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Phase 3. Clinical trials are undertaken to further evaluate dosage, clinical efficacy, potency and safety in an expanded patient population at geographically dispersed clinical trial sites. These clinical trials are intended to establish the overall risk/benefit ratio of the product candidate and provide an adequate basis for approval and product labeling.</w:t>
      </w:r>
    </w:p>
    <w:p>
      <w:pPr>
        <w:spacing w:after="0" w:line="101" w:lineRule="exact"/>
        <w:rPr>
          <w:sz w:val="20"/>
          <w:szCs w:val="20"/>
          <w:color w:val="auto"/>
        </w:rPr>
      </w:pPr>
    </w:p>
    <w:p>
      <w:pPr>
        <w:ind w:left="120" w:right="20"/>
        <w:spacing w:after="0" w:line="261" w:lineRule="auto"/>
        <w:rPr>
          <w:sz w:val="20"/>
          <w:szCs w:val="20"/>
          <w:color w:val="auto"/>
        </w:rPr>
      </w:pPr>
      <w:r>
        <w:rPr>
          <w:rFonts w:ascii="Arial" w:cs="Arial" w:eastAsia="Arial" w:hAnsi="Arial"/>
          <w:sz w:val="17"/>
          <w:szCs w:val="17"/>
          <w:color w:val="auto"/>
        </w:rPr>
        <w:t>Post-approval clinical trials, sometimes referred to as Phase 4 clinical trials, may be conducted after initial regulatory approval. These clinical trials are used to gain additional experience from the treatment of patients in the intended therapeutic indication, particularly for long-term safety follow-up. The FDA generally recommends that sponsors of human gene therapy product candidates and genome editing product candidates observe subjects for potential gene therapy-related delayed adverse events for up to a 15-year period, including five years of annual examinations followed by ten years of annual queries, either by telephone or by questionnaire, of study subjects.</w:t>
      </w:r>
    </w:p>
    <w:p>
      <w:pPr>
        <w:spacing w:after="0" w:line="9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 xml:space="preserve">During all phases of clinical development, the FDA requires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suspected adverse events, any findings from other studies, tests in laboratory animals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acting on its own or based on a recommendation from the sponsor’s data safety monitoring board may suspend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biological product candidate has been associated with unexpected serious harm to patients.</w:t>
      </w:r>
    </w:p>
    <w:p>
      <w:pPr>
        <w:spacing w:after="0" w:line="102"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Concurrent with clinical trials, companies usually complete additional animal studies and also must develop additional information about the physical characteristics of the biological product candidate as well as finalize a process for manufacturing the product candidate in commercial quantities in accordance with cGMP. To help reduce the risk of the introduction of adventitious agents with use of biological product candidates, the PHS Act emphasizes the importance of manufacturing control for product candidates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Review and Approval Processes</w:t>
      </w:r>
    </w:p>
    <w:p>
      <w:pPr>
        <w:spacing w:after="0" w:line="129"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After the completion of clinical trials of a biological product candidate, FDA approval of a BLA must be obtained before commercial marketing of the biological product. The BLA must include results of product development, laboratory and animal studies, human studies, information on the manufacture and composition of the product,</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86"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Within 60 days following submission of the application, the FDA reviews a BLA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In most cases, the submission of a BLA is subject to a substantial application user fee, although the fee may be waived under certain circumstances. Under the performance goals and policies implemented by the FDA under the Prescription Drug User Fee Act (“PDUFA”), for original BLAs, the FDA targets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12 months from the date the BLA is submitted to the FDA because the FDA has approximately two months to make a ‘‘filing’’ decision.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1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Once the submission is accepted for filing, the FDA begins an in-depth substantive review of the BLA. The FDA reviews the BLA to determine, among other things, whether the proposed product is safe, pure, and potent for its intended use, and whether the product is being manufactured in accordance with cGMP to ensure the continued safety, purity, and potency of such product. The FDA may refer applications for novel biological products or biological products that present difficult or novel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(“REMS”), is necessary to assure the safe use of the biological product. If the FDA concludes a REMS is needed, the sponsor of the BLA must submit a proposed REMS; the FDA will not approve the BLA without a REMS, if required.</w:t>
      </w:r>
    </w:p>
    <w:p>
      <w:pPr>
        <w:spacing w:after="0" w:line="9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Before approving a BLA, the FDA typically will inspect the facilities at which the product is manufactured. The FDA will not approve the product unless it determines that the manufacturing processes and facilities are in compliance with cGMP and adequate to assure consistent production of the product within required specifications. For a gene therapy product, the FDA also will not approve the product if the manufacturer is not in compliance with the CGTPs. These are FDA regulations that govern the methods used in, and the facilities and controls used for, the manufacture of human cells, tissues, and cellular and tissue-based products (“HCT/Ps”), which are human cells or tissue intended for implantation, transplant, infusion, or transfer into a human recipient. The primary intent of the CGTP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appropriate screening and testing. Additionally, before approving a BLA, the FDA will typically inspect one or more clinical sites to assure that the clinical trials were conducted in compliance with IND study requirements and GCP requirements. To assure cGMP, CGTP and GCP compliance, an applicant must incur significant expenditure of time, money, and effort in the areas of training, record keeping, production and quality control.</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Under the Pediatric Research Equity Act (“PREA”), a BLA or supplement to a BLA for a novel product (e.g.,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w:t>
      </w:r>
    </w:p>
    <w:p>
      <w:pPr>
        <w:spacing w:after="0" w:line="109"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After the FDA evaluates a BLA and conducts inspections of manufacturing facilities where the biological product will be manufactured, the FDA may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will not be approved in its present form. A Complete Response Letter will usually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which may include the potential requirement for additional preclinical studies or clinical trials or additional manufacturing activities. If a Complete Response Letter is issued, the applicant may either resubmit the BLA, addressing all of the deficiencies identified in the letter, or withdraw the application or request an opportunity for a hearing. The FDA may delay or refuse approval of a BLA if applicable regulatory criteria are not satisfied, require additional testing or information and/or require post-marketing testing and surveillance to monitor safety or efficacy of a product.</w:t>
      </w:r>
    </w:p>
    <w:p>
      <w:pPr>
        <w:spacing w:after="0" w:line="11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including to subpopulations of patients, which could restrict the commercial value of the product. Further, the FDA may require that certain contraindications, warnings precautions or interactions be included in the product labeling. The FDA may impose restrictions and conditions on product distribution, prescribing or dispensing in the form of a REMS, or otherwise limit the scope of any approval. In addition, the FDA may require post-marketing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Drug Designation</w:t>
      </w:r>
    </w:p>
    <w:p>
      <w:pPr>
        <w:spacing w:after="0" w:line="142"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color w:val="auto"/>
        </w:rPr>
        <w:t>Under the Orphan Drug Act, the FDA may grant orphan designation to a drug or biological product candidate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candidate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w:t>
      </w:r>
    </w:p>
    <w:p>
      <w:pPr>
        <w:spacing w:after="0" w:line="98"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If a product candidate that has orphan drug designation subsequently receives the first FDA approval for the disease or condition for which it has such designation, the product is entitled to orphan drug exclusive approval (or exclusivity), which means that the FDA may not approve any other applications, including a full BLA, to market the same product for the same indication for seven years, except in limited circumstances, such as a showing of clinical superiority to the product with orphan drug exclusivity by means of greater effectiveness,</w:t>
      </w:r>
    </w:p>
    <w:p>
      <w:pPr>
        <w:spacing w:after="0" w:line="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greater safety or providing a major contribution to patient care or if the holder of the orphan drug exclusivity cannot assure the availability of sufficient quantities of the orphan drug to meet the needs of patients with the disease or condition for which the product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 A designated orphan drug may not receive orphan drug exclusivity if it is approved for a use that is broader than the indication for which it received orphan drug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129"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The FDA has various programs, including fast track designation, breakthrough therapy designation, priority review and accelerated approval, that are intended to expedite or simplify the process for the development and FDA review of drugs and biologics that are intended for the treatment of serious or life-threatening diseases or conditions. These programs do not change the standards for approval but may help expedite the development or approval process. To be eligible for fast track designation, new drugs and biological products must be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for a product that has received fast track designation on a rolling basis before the complete application is submitted.</w:t>
      </w:r>
    </w:p>
    <w:p>
      <w:pPr>
        <w:spacing w:after="0" w:line="112"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Under the FDA’s breakthrough therapy program, products intended to treat a serious or life-threatening disease or condition may be eligible for the benefits of the fast track program when preliminary clinical evidence demonstrates that such product may have substantial improvement on one or more clinically significant endpoints over existing therapies. Additionally, the FDA will seek to ensure the sponsor of a breakthrough therapy product receives timely advice and interactive communications to help the sponsor design and conduct a development program as efficiently as possible.</w:t>
      </w:r>
    </w:p>
    <w:p>
      <w:pPr>
        <w:spacing w:after="0" w:line="109" w:lineRule="exact"/>
        <w:rPr>
          <w:sz w:val="20"/>
          <w:szCs w:val="20"/>
          <w:color w:val="auto"/>
        </w:rPr>
      </w:pPr>
    </w:p>
    <w:p>
      <w:pPr>
        <w:ind w:left="120" w:right="260"/>
        <w:spacing w:after="0" w:line="244" w:lineRule="auto"/>
        <w:rPr>
          <w:sz w:val="20"/>
          <w:szCs w:val="20"/>
          <w:color w:val="auto"/>
        </w:rPr>
      </w:pPr>
      <w:r>
        <w:rPr>
          <w:rFonts w:ascii="Arial" w:cs="Arial" w:eastAsia="Arial" w:hAnsi="Arial"/>
          <w:sz w:val="18"/>
          <w:szCs w:val="18"/>
          <w:color w:val="auto"/>
        </w:rPr>
        <w:t>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 Under priority review, the FDA’s goal is to review an application in six months once it is filed, compared to ten months for a standard review.</w:t>
      </w:r>
    </w:p>
    <w:p>
      <w:pPr>
        <w:spacing w:after="0" w:line="95"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Additionally, a product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As a condition of approval, the FDA may require that a sponsor of a drug or biological product receiving accelerated approval perform adequate and well-controlled post-marketing clinical trials with due diligence, and, under the Food and Drug Omnibus Reform Act of 2022 (“FDORA”), the FDA is now permitted to require, as appropriate, that such trials be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42" w:lineRule="auto"/>
        <w:rPr>
          <w:sz w:val="20"/>
          <w:szCs w:val="20"/>
          <w:color w:val="auto"/>
        </w:rPr>
      </w:pPr>
      <w:r>
        <w:rPr>
          <w:rFonts w:ascii="Arial" w:cs="Arial" w:eastAsia="Arial" w:hAnsi="Arial"/>
          <w:sz w:val="18"/>
          <w:szCs w:val="18"/>
          <w:color w:val="auto"/>
        </w:rPr>
        <w:t>underway prior to approval or within a specific time period after the date of approval for a product granted accelerated approval. Under FDORA, the FDA has increased authority for expedited procedures to withdraw approval of a product or indication approved under accelerated approval if, for example, the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or publication be submitted to the agency for review, which could adversely affect the timing of the commercial launch of the product.</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RMAT Designation</w:t>
      </w:r>
    </w:p>
    <w:p>
      <w:pPr>
        <w:spacing w:after="0" w:line="129" w:lineRule="exact"/>
        <w:rPr>
          <w:sz w:val="20"/>
          <w:szCs w:val="20"/>
          <w:color w:val="auto"/>
        </w:rPr>
      </w:pPr>
    </w:p>
    <w:p>
      <w:pPr>
        <w:ind w:left="120"/>
        <w:spacing w:after="0" w:line="231" w:lineRule="auto"/>
        <w:rPr>
          <w:sz w:val="20"/>
          <w:szCs w:val="20"/>
          <w:color w:val="auto"/>
        </w:rPr>
      </w:pPr>
      <w:r>
        <w:rPr>
          <w:rFonts w:ascii="Arial" w:cs="Arial" w:eastAsia="Arial" w:hAnsi="Arial"/>
          <w:sz w:val="18"/>
          <w:szCs w:val="18"/>
          <w:color w:val="auto"/>
        </w:rPr>
        <w:t>As part of the 21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Century Cures Act, Congress amended the FD&amp;C Act to facilitate an efficient development program for and expedite review of regenerative medicine advanced therapies (“RMAT”), which include cell and gene therapies, therapeutic tissue engineering products, human cell and tissue products and combination products using any such therapies or products. RMAT do not include those HCT/Ps regulated solely under section 361 of the PHS Act and 21 CFR Part 1271. This program is intended to facilitate efficient development and expedite review of regenerative medicine therapies, which are intended to treat, modify, reverse, or cure a serious or life-threatening disease or condition and qualify for RMAT designation. A drug sponsor may request that FDA designate a drug as a RMAT concurrently with or at any time after submission of an IND. FDA has 60 calendar days to determine whether the drug meets the criteria, including whether there is preliminary clinical evidence indicating that the drug has the potential to address unmet medical needs for a serious or life-threatening disease or condition. A BLA for a regenerative medicine therapy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trials, patient registries, or other sources of real world evidence, such as electronic health records; the collection of larger confirmatory data sets; or post-approval monitoring of all patients treated with such therapy prior to its approval. Like some of the FDA’s other expedited development programs, RMAT designation does not change the standards for approval but may help expedite the development or approval process.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Rare Pediatric Disease Designation and Priority Review Vouchers</w:t>
      </w:r>
    </w:p>
    <w:p>
      <w:pPr>
        <w:spacing w:after="0" w:line="10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Under the or FD&amp;C Act, as amended, the FDA incentivizes the development of product candidates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or biologic for such disease or condition will be received from sales in the United States of such drug or biologic. The sponsor of a product candidate for a rare pediatric disease may be eligible for a voucher that can be used to obtain a priority review for a subsequent marketing application after the date of approval of the rare pediatric disease drug product. A sponsor may request rare pediatric disease designation from the FDA prior to the submission of its BLA. A rare pediatric disease designation does not guarantee that a sponsor will receive a priority review voucher (“PRV”) upon approval of its BLA. Moreover, a sponsor who chooses not to submit a rare pediatric disease designation request may nonetheless receive a PRV upon approval of their marketing application if they request such a voucher in their original marketing application and meet all of the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color w:val="auto"/>
        </w:rPr>
        <w:t>eligibility criteria. If a PRV is received, it may be sold or transferred an unlimited number of times. Congress has extended the PRV program until September 30, 2024, with the potential for PRVs to be granted until September 30, 2026.</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Post-Approval Requirements</w:t>
      </w:r>
    </w:p>
    <w:p>
      <w:pPr>
        <w:spacing w:after="0" w:line="102"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Maintaining substantial compliance with applicable federal, state and local statutes and regulations requires the expenditure of substantial time and financial resources. Products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If there are any modifications to the product, including changes in indications, labeling or manufacturing processes or facilities, the applicant may be required to submit and obtain FDA approval of a new BLA or BLA supplement, which may require the development of additional data or preclinical studies and clinical trials. Such regulatory reviews can result in denial or modification of the planned changes, or requirements to conduct additional tests or evaluations that can substantially delay or increase the cost of the planned changes. The FDA may also impose a number of post-approval requirements as a condition of approval of a BLA. For example, the FDA may require post-marketing testing, including Phase 4 clinical trials, and surveillance to further assess and monitor the product’s safety and effectiveness after commercialization.</w:t>
      </w:r>
    </w:p>
    <w:p>
      <w:pPr>
        <w:spacing w:after="0" w:line="9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Manufacturers of biological products are required to comply with applicable requirements in the cGMP,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118"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injunctions, fines, refusals of government contracts, mandated corrective advertising or communications with doctors or other stakeholders, debarment, restitution, disgorgement of profits, or civil or criminal penalties.</w:t>
      </w:r>
    </w:p>
    <w:p>
      <w:pPr>
        <w:spacing w:after="0" w:line="118"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Biological product manufacturers and other entities involved in the manufacture and distribution of approved biological products, and those supplying products, ingredients, and components of them, are required to</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Patent Term Restoration and Marketing Exclusivity</w:t>
      </w:r>
    </w:p>
    <w:p>
      <w:pPr>
        <w:spacing w:after="0" w:line="12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Depending upon the timing, duration, and specifics of the FDA approval of the use of our product candidates, some U.S. patents that may issue from our pending patent applications may be eligible for limited patent term extension under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except that the review period is reduced by any time during which the applicant failed to exercise due diligence. Only one patent applicable to an approved biological product is eligible for the extension and the application for the extension must be submitted prior to the expiration of the patent. In addition, only those claims covering the approved product, a method for using it, or a method for manufacturing it may be extended, and a patent can only be extended once and only for a single product. The USPTO, in consultation with the FDA, reviews and approves the application for any patent term extension or restoration. In the future, we may apply for restoration of patent term for one of the patents that may issue from our pending patent applications, if and as applicable, to add patent life beyond its current expiration date, depending on the expected length of the clinical trials and other factors involved in the filing of the relevant BLA. However, there can be no assurance that our pending patent applications will issue or that we will benefit from any patent term extension or favorable adjustments to the terms of any patents we may own or in-license in the future.</w:t>
      </w:r>
    </w:p>
    <w:p>
      <w:pPr>
        <w:spacing w:after="0" w:line="120"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A biological product can obtain pediatric market exclusivity in the United States. Pediatric exclusivity, if granted, adds six months to existing exclusivity periods and may be granted based on the voluntary completion of a pediatric study in accordance with an FDA-issued “Written Request” for such a study.</w:t>
      </w:r>
    </w:p>
    <w:p>
      <w:pPr>
        <w:spacing w:after="0" w:line="101"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The Biologics Price Competition and Innovation Act of 2009 created an abbreviated approval pathway for biological products shown to be 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w:t>
      </w:r>
    </w:p>
    <w:p>
      <w:pPr>
        <w:spacing w:after="0" w:line="9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A reference biological product is granted four- and 12-year exclusivity periods from the time of first licensure of the product. FDA will not accept an application for a biosimilar or interchangeable product based on the reference biological product until four years after the date of first licensure of the reference product, and FDA</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Regulation Outside of the United States</w:t>
      </w:r>
    </w:p>
    <w:p>
      <w:pPr>
        <w:spacing w:after="0" w:line="129" w:lineRule="exact"/>
        <w:rPr>
          <w:sz w:val="20"/>
          <w:szCs w:val="20"/>
          <w:color w:val="auto"/>
        </w:rPr>
      </w:pPr>
    </w:p>
    <w:p>
      <w:pPr>
        <w:ind w:left="120" w:right="20"/>
        <w:spacing w:after="0" w:line="257" w:lineRule="auto"/>
        <w:rPr>
          <w:sz w:val="20"/>
          <w:szCs w:val="20"/>
          <w:color w:val="auto"/>
        </w:rPr>
      </w:pPr>
      <w:r>
        <w:rPr>
          <w:rFonts w:ascii="Arial" w:cs="Arial" w:eastAsia="Arial" w:hAnsi="Arial"/>
          <w:sz w:val="17"/>
          <w:szCs w:val="17"/>
          <w:color w:val="auto"/>
        </w:rPr>
        <w:t>In addition to regulations in the United States, we are subject to a variety of regulations in other jurisdictions governing clinical studies, commercial sales, and distribution of our products. Most countries outside of the United States require that clinical trial applications be submitted to and approved by the local regulatory authority for each clinical study. In the European Union, for example, an application must be submitted to the national competent authority and an independent ethics committee in each country in which we intend to conduct clinical trials, much like the FDA and IRB, respectively. Under the new Clinical Trials Regulation (EU) No 536/2014, which replaced the Clinical Trials Directive 2001/20/EC on January 31, 2022, a single application is now made through the Clinical Trials Information System (“CTIS”) for clinical trial authorization in up to 30 EU/EEA countries at the same time and with a single set of documentation.</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 been submitted (Member States concerned) of a draft report prepared by a Reference Member State. Part II is assessed separately by each Member State concerned. The role of the relevant ethics committees in the assessment procedure will continue to be governed by the national law of the Member State concerned, however overall related timelines are defined by the Clinical Trials Regulation. The new Clinical Trials Regulation also provides for simplified reporting procedures for clinical trial sponsors.</w:t>
      </w:r>
    </w:p>
    <w:p>
      <w:pPr>
        <w:spacing w:after="0" w:line="117"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In addition, whether or not we obtain FDA approval for a product, we must obtain approval of a product by the comparable regulatory authorities of countries outside the United States before we can commence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93" w:lineRule="exact"/>
        <w:rPr>
          <w:sz w:val="20"/>
          <w:szCs w:val="20"/>
          <w:color w:val="auto"/>
        </w:rPr>
      </w:pPr>
    </w:p>
    <w:p>
      <w:pPr>
        <w:ind w:left="120" w:right="80"/>
        <w:spacing w:after="0" w:line="261" w:lineRule="auto"/>
        <w:rPr>
          <w:sz w:val="20"/>
          <w:szCs w:val="20"/>
          <w:color w:val="auto"/>
        </w:rPr>
      </w:pPr>
      <w:r>
        <w:rPr>
          <w:rFonts w:ascii="Arial" w:cs="Arial" w:eastAsia="Arial" w:hAnsi="Arial"/>
          <w:sz w:val="17"/>
          <w:szCs w:val="17"/>
          <w:color w:val="auto"/>
        </w:rPr>
        <w:t>To obtain regulatory approval of our medicinal products under the European Union regulatory system, we are required to submit a marketing authorization application (“MAA”), to be assessed in the centralized procedure. The centralized procedure allows applicants to obtain a marketing authorization (“MA”) that is valid throughout the European Union, and the additional Member States of the European Economic Area (Iceland, Liechtenstein and Norway) (“EEA”). It is compulsory for medicinal products manufactured using biotechnological processes, orphan medicinal products, advanced therapy medicinal products (gene-therapy, somatic cell-therapy or tissue-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engineered medicines) and human products containing a new active substance which is not authorized in the European Union and which is intended for the treatment of HIV, AIDS, cancer, neurodegenerative disorders, auto-immune and other immune dysfunctions, viral diseases or diabetes. The centralized procedure is optional for any other products containing new active substances not authorized in the European Union or for products which constitute a significant therapeutic, scientific, or technical innovation or for which a centralized authorization is in the interests of patients at European Union level. When a company wishes to place on the market a medicinal product that is eligible for the centralized procedure, it sends an application directly to the European Medicines Agency (“EMA”), to be assessed by the Committee for Medicinal Products for Human Use (“CHMP”). The CHMP is responsible for conducting the assessment of whether a medicine meets the required quality, safety, and efficacy requirements, and whether the product has a positive risk/benefit profile. The procedure results in a European Commission decision, which is valid in all European Union Member States. The centralized procedure is as follows: full copies of the MAA are sent to a rapporteur and a co-rapporteur designated by the competent EMA scientific committee. They coordinate the EMA’s scientific assessment of the medicinal product and prepare draft reports. Once the draft reports are prepared (other experts might be called upon for this purpose), they are sent to the CHMP, whose comments or objections are communicated to the applicant. The rapporteur is therefore the privileged interlocutor of the applicant and continues to play this role, even after the MA has been granted.</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rapporteur and co-rapporteur then assess the applicant’s replies, submit them for discussion to the CHMP, and taking into account the conclusions of this debate, prepare a final assessment report. Once the evaluation is completed, the CHMP gives a favorable or unfavorable opinion as to whether to grant the authorization. When the opinion is favorable, it shall include the draft summary of product characteristics (“SmPC”), the package leaflet, and the texts proposed for the various packaging materials. The time limit for the evaluation procedure is 210 days (excluding clock stops, when additional written or oral information is to be provided by the applicant in response to questions asked by the CHMP). The EMA then has fifteen days to forward its opinion to the European Commission, which will make a binding decision on the grant of an MA within 67 days of the receipt of the CHMP opinion.</w:t>
      </w:r>
    </w:p>
    <w:p>
      <w:pPr>
        <w:spacing w:after="0" w:line="117"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There are two other procedures in the European Union for the grant of an MA in multiple European Union Member States. The decentralized procedure provides for approval by one or more other, or Concerned Member States, of an assessment of an application performed by one Member State, known as the Reference Member State. Under this procedure, an applicant submits an application, or dossier, and related materials including a draft SmPC, and draft labeling and package leaflet,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cannot approve the assessment report and related materials on the grounds of potential serious risk to the public health, the disputed points may eventually be referred to the European Commission, whose decision is binding on all Member States. Where a product has already been authorized for marketing in a European Union Member State, this national MA can be recognized in other Member States through the mutual recognition procedure.</w:t>
      </w:r>
    </w:p>
    <w:p>
      <w:pPr>
        <w:spacing w:after="0" w:line="105"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The criteria for designating an “orphan medicinal product” in the European Union are similar in principle to those in the United States. Under Article 3 of Regulation (EC) 141/2000, a medicinal product may be designated as an orphan medicinal product if it is intended for the diagnosis, prevention, or treatment of a life-threatening or chronically debilitating condition that affects no more than five in 10,000 persons in the European Union when the application is made. In addition, orphan designation can be granted if the product is intended for a life threatening, seriously debilitating, or serious and chronic condition in the European Union and, without incentives, it is unlikely that sales of the product in the European Union would be sufficient to justify the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00"/>
        <w:spacing w:after="0" w:line="253" w:lineRule="auto"/>
        <w:rPr>
          <w:sz w:val="20"/>
          <w:szCs w:val="20"/>
          <w:color w:val="auto"/>
        </w:rPr>
      </w:pPr>
      <w:r>
        <w:rPr>
          <w:rFonts w:ascii="Arial" w:cs="Arial" w:eastAsia="Arial" w:hAnsi="Arial"/>
          <w:sz w:val="18"/>
          <w:szCs w:val="18"/>
          <w:color w:val="auto"/>
        </w:rPr>
        <w:t>necessary investment in its development. Orphan designation is only available if there is no other satisfactory method approved in the European Union of diagnosing, preventing, or treating the applicable orphan condition, or if such a method exists, the proposed orphan medicinal product will be of significant benefit to patients affected by such condition, as defined in Regulation (EC) 847/2000.</w:t>
      </w:r>
    </w:p>
    <w:p>
      <w:pPr>
        <w:spacing w:after="0" w:line="101"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Orphan designation provides opportunities for fee reductions, protocol assistance, and access to the centralized procedure. Fee reductions are limited to the first year after an MA, except for small and medium enterprises. In addition, if a product which has an orphan designation subsequently receives a centralized MA for the indication for which it has such designation, the product is entitled to orphan market exclusivity, which means the EMA may not approve any other application to market a similar medicinal product for the same indication for a period of ten years. A “similar medicinal product” is defined as a medicinal product containing a similar active substance or substances as contained in an authorized orphan medicinal product, and which is intended for the same therapeutic indication. The exclusivity period may be reduced to six years if, at the end of the fifth year, it is shown that the designation criteria are no longer met, including where it is shown that the product is sufficiently profitable not to justify maintenance of market exclusivity. Additionally, an MA may be granted to a similar medicinal product for the same indication at any time if:</w:t>
      </w:r>
    </w:p>
    <w:p>
      <w:pPr>
        <w:spacing w:after="0" w:line="116" w:lineRule="exact"/>
        <w:rPr>
          <w:sz w:val="20"/>
          <w:szCs w:val="20"/>
          <w:color w:val="auto"/>
        </w:rPr>
      </w:pPr>
    </w:p>
    <w:p>
      <w:pPr>
        <w:ind w:left="340" w:right="480" w:hanging="224"/>
        <w:spacing w:after="0" w:line="271"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second applicant can establish that its product, although similar to the authorized product, is safer, more effective or otherwise clinically superior;</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MA holder of the authorized product consents to a second orphan medicinal product application; or</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MA holder of the authorized product cannot supply enough orphan medicinal product.</w:t>
      </w:r>
    </w:p>
    <w:p>
      <w:pPr>
        <w:spacing w:after="0" w:line="14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 pediatric investigation plan (“PIP”), in the European Union is aimed at ensuring that the necessary data are obtained to support the authorization of a medicine for children, through studies in children. All applications for Mas for new medicines have to include the results of studies as described in an agreed PIP, unless the medicine is exempt because of a deferral or waiver. This requirement also applies when an MA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European Union. Medicines authorized across the European Union with the results of studies from a PIP included in the product information are eligible for an extension of their supplementary protection certificate (“SPC”) by six months (provided an application for such extension is made at the same time as filing the SPC application for the product, or at any point up to two years before the SPC expires). This is the case even when the studies’ results are negative. For orphan medicinal products, the incentive is an additional two years of market exclusivity. 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 (“PUMA”). If a PUMA is granted, the product will benefit from ten years of market protection as an incentive.</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March 2016, the EMA launched an initiative, the PRIority Medicines (“PRIME”) scheme, to facilitate development of product candidates in indications, often rare, for which few or no therapies currently exist. The PRIME scheme is intended to encourage development of products in areas of unmet medical need and provides accelerated assessment of products representing substantial innovation reviewed under the centralized procedure. Products from small- and medium-sized enterprises may qualify for earlier entry into the PRIME scheme than larger companies on the basis of compelling non-clinical data and tolerability data from initial clinical trials. Many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color w:val="auto"/>
        </w:rPr>
        <w:t>has been submitted. Importantly, once a candidate medicine has been selected for the PRIME scheme, a dedicated contact and rapporteur from the CHMP or from the Committee for Advanced Therapies (“CAT”) are appointed early in the PRIME scheme facilitating increased understanding of the product at EMA’s committee level. An initial meeting with the CHMP/CAT rapporteur initiates these relationships and includes a team of multidisciplinary experts at the EMA to provide guidance on the overall development and regulatory strategies. PRIME eligibility does not change the standards for product approval, and there is no assurance that any such designation or eligibility will result in expedited review or approval.</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aforementioned European Union rules are generally applicable in the EEA.</w:t>
      </w:r>
    </w:p>
    <w:p>
      <w:pPr>
        <w:spacing w:after="0" w:line="144"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The United Kingdom left the European Union on January 31, 2020, and the United Kingdom and the European Union have concluded a trade and cooperation agreement (“TCA”) which was provisionally applicable since January 1, 2021 and has been formally applicable since May 1, 2021.</w:t>
      </w:r>
    </w:p>
    <w:p>
      <w:pPr>
        <w:spacing w:after="0" w:line="8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TCA includes specific provisions concerning pharmaceuticals, which include the mutual recognition of GMP, inspections of manufacturing facilities for medicinal products and GMP documents issued, but does not provide for wholesale mutual recognition of United Kingdom and European Union pharmaceutical regulations. At present, Great Britain has implemented European Union legislation on the marketing, promotion and sale of medicinal products through the Human Medicines Regulations 2012 (as amended). Except in respect of the new European Union Clinical Trials Regulation, the regulatory regime in Great Britain therefore largely aligns with current European Union medicines regulations, however it is possible that these regimes will diverge more significantly in future now that Great Britain’s regulatory system is independent from the European Union and the TCA does not provide for mutual recognition of United Kingdom and European Union pharmaceutical legislation. However, notwithstanding that there is no wholesale recognition of European Union pharmaceutical legislation under the TCA, under a new framework mentioned below which will be put in place by the Medicines and Healthcare products Regulatory Agency (“MHRA”), the United Kingdom’s medicines regulator, from January 1, 2024, the MHRA has stated that it will take into account decisions on the approval of Mas from the EMA (and certain other regulators) when considering an application for a Great Britain MA.</w:t>
      </w:r>
    </w:p>
    <w:p>
      <w:pPr>
        <w:spacing w:after="0" w:line="115"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On February 27, 2023, the United Kingdom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United Kingdom. In particular, the MHRA will be responsible for approving all medicinal products destined for the United Kingdom market (i.e., Great Britain and Northern Ireland), and the EMA will no longer have any role in approving medicinal products destined for Northern Ireland. A single United Kingdom-wide MA will be granted by the MHRA for all medicinal products to be sold in the United Kingdom, enabling products to be sold in a single pack and under a single authorization throughout the United Kingdom. The Windsor Framework was approved by the European Union-United Kingdom Joint Committee on March 24, 2023, so the United Kingdom government and the European Union will enact legislative measures to bring it into law.</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MHRA has introduced changes to national licensing procedures, including procedures to prioritize access to new medicines that will benefit patients, an accelerated assessment procedure and new routes of evaluation for novel products and biotechnological products. All existing European Union Mas for centrally authorized products were automatically converted (grandfathered) into United Kingdom Mas free of charge on January 1, 2021. For a period of three years from January 1, 2021, the MHRA may rely on a decision taken by the European Commission on the approval of a new MA in the centralized procedure, in order to more quickly grant a new Great Britain MA. A separate application will, however, still be required. On January 24, 2023, the MHRA announced that a new international recognition framework will be put in place from January 1, 2024, which will have regard to decisions on the approval of Mas made by the EMA and certain other regulators when</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00"/>
          </w:cols>
          <w:pgMar w:left="320" w:top="455" w:right="4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44" w:lineRule="auto"/>
        <w:rPr>
          <w:sz w:val="20"/>
          <w:szCs w:val="20"/>
          <w:color w:val="auto"/>
        </w:rPr>
      </w:pPr>
      <w:r>
        <w:rPr>
          <w:rFonts w:ascii="Arial" w:cs="Arial" w:eastAsia="Arial" w:hAnsi="Arial"/>
          <w:sz w:val="18"/>
          <w:szCs w:val="18"/>
          <w:color w:val="auto"/>
        </w:rPr>
        <w:t>determining an application for a new Great Britain MA. There is now no pre-MA orphan designation in Great Britain. Instead, the MHRA reviews applications for orphan designation in parallel to the corresponding MAA. The criteria are essentially the same, but have been tailored for the Great Britain market, i.e., the prevalence of the condition in Great Britain (rather than the European Union) must not be more than five in 10,000. Should an orphan designation be granted, the period of market exclusivity will be set from the date of first approval of the product in Great Britain.</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Healthcare Laws and Compliance Requirements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Healthcare Laws</w:t>
      </w:r>
    </w:p>
    <w:p>
      <w:pPr>
        <w:spacing w:after="0" w:line="142"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Biotechnology companies are subject to additional healthcare laws in the jurisdictions in which they conduct their business that may constrain the financial arrangements and relationships through which we research, as well as, in the future sell, market and distribute any products for which we obtain regulatory approval. Such laws include, without limitation, state and federal patient data privacy and security laws, federal and state anti-kickback laws, physician-self referral laws, false claims and transparency laws and regulations with respect to drug pricing and payments and other transfers of value made to physicians and other health care providers, and similar healthcare laws and regulations in the EU and other jurisdictions. Violations of any of such laws or any other governmental regulations that apply may result in significant penalties, including, without limitation, administrative, civil and criminal penalties, damages, fines, disgorgement, the curtailment or restructuring of operations, integrity oversight and reporting obligations to resolve allegations of noncompliance, and exclusion from participation in federal and state healthcare programs and imprisonment.</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Coverage and Reimbursement</w:t>
      </w:r>
    </w:p>
    <w:p>
      <w:pPr>
        <w:spacing w:after="0" w:line="129" w:lineRule="exact"/>
        <w:rPr>
          <w:sz w:val="20"/>
          <w:szCs w:val="20"/>
          <w:color w:val="auto"/>
        </w:rPr>
      </w:pPr>
    </w:p>
    <w:p>
      <w:pPr>
        <w:ind w:left="120" w:right="40"/>
        <w:spacing w:after="0" w:line="257" w:lineRule="auto"/>
        <w:rPr>
          <w:sz w:val="20"/>
          <w:szCs w:val="20"/>
          <w:color w:val="auto"/>
        </w:rPr>
      </w:pPr>
      <w:r>
        <w:rPr>
          <w:rFonts w:ascii="Arial" w:cs="Arial" w:eastAsia="Arial" w:hAnsi="Arial"/>
          <w:sz w:val="17"/>
          <w:szCs w:val="17"/>
          <w:color w:val="auto"/>
        </w:rPr>
        <w:t>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coverage and reimbursement for medical products, drugs and services.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01"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 U.S. government, state legislatures and foreign governments have also continued implementing cost-containment programs, including price controls, restrictions on coverage and reimbursement and requirements for substitution of generic (or biosimilar)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Healthcare Reform</w:t>
      </w:r>
    </w:p>
    <w:p>
      <w:pPr>
        <w:spacing w:after="0" w:line="129" w:lineRule="exact"/>
        <w:rPr>
          <w:sz w:val="20"/>
          <w:szCs w:val="20"/>
          <w:color w:val="auto"/>
        </w:rPr>
      </w:pPr>
    </w:p>
    <w:p>
      <w:pPr>
        <w:ind w:left="120" w:right="60"/>
        <w:spacing w:after="0" w:line="266" w:lineRule="auto"/>
        <w:rPr>
          <w:sz w:val="20"/>
          <w:szCs w:val="20"/>
          <w:color w:val="auto"/>
        </w:rPr>
      </w:pPr>
      <w:r>
        <w:rPr>
          <w:rFonts w:ascii="Arial" w:cs="Arial" w:eastAsia="Arial" w:hAnsi="Arial"/>
          <w:sz w:val="17"/>
          <w:szCs w:val="17"/>
          <w:color w:val="auto"/>
        </w:rPr>
        <w:t>In the United States, in March 2010, the Patient Protection and Affordable Care Act, as amended by the Health Care and Education Reconciliation Act, each as amended, collectively known as the ACA, was enacted, which substantially changed the way healthcare is financed by both governmental and private insurers, and significantly affected the pharmaceutical industry. The ACA contained a number of provisions, including those governing enrollment in federal healthcare programs, reimbursement adjustments and changes to fraud and</w:t>
      </w:r>
    </w:p>
    <w:p>
      <w:pPr>
        <w:spacing w:after="0" w:line="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abuse laws. Since its enactment, there have been judicial and Congressional challenges to certain aspects of the ACA. Other legislative changes have been proposed and adopted since the ACA was enacted, including aggregate reductions of Medicare payments to providers of 2% per fiscal year.</w:t>
      </w:r>
    </w:p>
    <w:p>
      <w:pPr>
        <w:spacing w:after="0" w:line="10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Additionally, President Biden has issued multiple executive orders that have sought to reduce prescription drug costs. There has also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The Inflation Reduction Act of 2022 (“IRA”), includes several provisions that impact the pharmaceutical industry, including provisions that reduce the out-of-pocket spending cap for Medicare Part D beneficiaries to $2,000 starting in 2025;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effects of the IRA on our business and the healthcare industry in general is not yet known.</w:t>
      </w:r>
    </w:p>
    <w:p>
      <w:pPr>
        <w:spacing w:after="0" w:line="113"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impact the amounts that federal and state governments and other third-party payors will pay for healthcare products and services.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Data Privacy &amp; Security</w:t>
      </w:r>
    </w:p>
    <w:p>
      <w:pPr>
        <w:spacing w:after="0" w:line="14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Numerous state, federal and foreign laws govern the collection, dissemination, use, access to, confidentiality and security of personal information, including health-related information. As our operations and business grow, we may become subject to or affected by U.S. federal and state laws and regulations, including the Health Information Portability and Accountability Act of 1996, and its implementing regulations, as amended (“HIPAA”), that govern the collection, use, disclosure, and protection of health-related and other personal information. In California the California Consumer Protection Act (“CCPA”), which went into effect on January 1, 2020 and was amended effective January 1, 2023,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While clinical trial data and information governed by HIPAA are currently exempt from the current version of the CCPA, other personal information may be applicable and possible changes to the CCPA may broaden its scope. Other states, including Virginia (effective January 1, 2023), Colorado (effective July 1, 2023), Connecticut (effective July 1, 2023), and Utah (effective December 31, 2023) have passed privacy legislation and more states may do so in the future, including Iowa, where the Iowa state legislature passed a comprehensive privacy legislation on March 15, 2023. State and non-U.S. laws, including for example the EU General Data Protection Regulation, also govern the privacy and security of health information in some circumstances, many of which differ from each other in significant ways and often are not preempted by HIPAA,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u w:val="single" w:color="auto"/>
          <w:color w:val="auto"/>
        </w:rPr>
        <w:t>Employees and Human Capital Resources</w:t>
      </w:r>
    </w:p>
    <w:p>
      <w:pPr>
        <w:spacing w:after="0" w:line="148"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As of June 30, 2023, we had more than 200 full-time employees, of which 69 have M.D. or Ph.D. degrees. Within our workforce, 176 employees are engaged in research and development and 35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106"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shareholder value and the success of our company by motivating such individuals to perform to the best of their abilities and achieve our objectives.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u w:val="single" w:color="auto"/>
          <w:color w:val="auto"/>
        </w:rPr>
        <w:t>Facilities</w:t>
      </w:r>
    </w:p>
    <w:p>
      <w:pPr>
        <w:spacing w:after="0" w:line="148" w:lineRule="exact"/>
        <w:rPr>
          <w:sz w:val="20"/>
          <w:szCs w:val="20"/>
          <w:color w:val="auto"/>
        </w:rPr>
      </w:pPr>
    </w:p>
    <w:p>
      <w:pPr>
        <w:ind w:left="120" w:right="280"/>
        <w:spacing w:after="0" w:line="244" w:lineRule="auto"/>
        <w:rPr>
          <w:sz w:val="20"/>
          <w:szCs w:val="20"/>
          <w:color w:val="auto"/>
        </w:rPr>
      </w:pPr>
      <w:r>
        <w:rPr>
          <w:rFonts w:ascii="Arial" w:cs="Arial" w:eastAsia="Arial" w:hAnsi="Arial"/>
          <w:sz w:val="18"/>
          <w:szCs w:val="18"/>
          <w:color w:val="auto"/>
        </w:rPr>
        <w:t>Our corporate headquarters is located in Emeryville, California, where we lease and occupy approximately 23,851 square feet of laboratory and office space at 1545 Park Avenue, Emeryville, California 94608. The current term of our lease expires in February 2031. The company also leases approximately 23,155 square feet of office space at 1485 Park Avenue, Emeryville, California 94608 and subleases approximately 75,662 square feet of combined office, research and laboratory space at 5959 Horton Street, Emeryville, California 94608.</w:t>
      </w:r>
    </w:p>
    <w:p>
      <w:pPr>
        <w:spacing w:after="0" w:line="95"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auto"/>
        </w:rPr>
        <w:t>We believe that our facilities are adequate for our current needs and for the foreseeable future. To meet the future needs of our business, we may lease additional or alternate space. We believe that suitable additional or substitute space at commercially reasonable terms will be available as needed to accommodate any future expansion of our operations.</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22"/>
          <w:szCs w:val="22"/>
          <w:b w:val="1"/>
          <w:bCs w:val="1"/>
          <w:u w:val="single" w:color="auto"/>
          <w:color w:val="auto"/>
        </w:rPr>
        <w:t>Legal proceedings</w:t>
      </w:r>
    </w:p>
    <w:p>
      <w:pPr>
        <w:spacing w:after="0" w:line="148"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From time to time, we may become involved in legal proceedings arising from the ordinary course of business. We record a liability for such matters when it is probable that future losses will be incurred and that such losses can be reasonably estimated. Significant judgment by us is required to determine both probability and the estimated amount. Our management is currently not aware of any legal matters that could have a material adverse effect on our financial position, results of operations or cash flows.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MANAGEMENT</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about our executive officers and directors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Age</w:t>
            </w:r>
          </w:p>
        </w:tc>
        <w:tc>
          <w:tcPr>
            <w:tcW w:w="74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Position(s)</w:t>
            </w:r>
          </w:p>
        </w:tc>
      </w:tr>
      <w:tr>
        <w:trPr>
          <w:trHeight w:val="88"/>
        </w:trPr>
        <w:tc>
          <w:tcPr>
            <w:tcW w:w="2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40" w:type="dxa"/>
            <w:vAlign w:val="bottom"/>
          </w:tcPr>
          <w:p>
            <w:pPr>
              <w:spacing w:after="0"/>
              <w:rPr>
                <w:sz w:val="7"/>
                <w:szCs w:val="7"/>
                <w:color w:val="auto"/>
              </w:rPr>
            </w:pPr>
          </w:p>
        </w:tc>
      </w:tr>
      <w:tr>
        <w:trPr>
          <w:trHeight w:val="203"/>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Executive Officers</w:t>
            </w:r>
          </w:p>
        </w:tc>
        <w:tc>
          <w:tcPr>
            <w:tcW w:w="880" w:type="dxa"/>
            <w:vAlign w:val="bottom"/>
            <w:shd w:val="clear" w:color="auto" w:fill="CCEEFF"/>
          </w:tcPr>
          <w:p>
            <w:pPr>
              <w:spacing w:after="0"/>
              <w:rPr>
                <w:sz w:val="17"/>
                <w:szCs w:val="17"/>
                <w:color w:val="auto"/>
              </w:rPr>
            </w:pPr>
          </w:p>
        </w:tc>
        <w:tc>
          <w:tcPr>
            <w:tcW w:w="7440" w:type="dxa"/>
            <w:vAlign w:val="bottom"/>
            <w:shd w:val="clear" w:color="auto" w:fill="CCEEFF"/>
          </w:tcPr>
          <w:p>
            <w:pPr>
              <w:spacing w:after="0"/>
              <w:rPr>
                <w:sz w:val="17"/>
                <w:szCs w:val="17"/>
                <w:color w:val="auto"/>
              </w:rPr>
            </w:pPr>
          </w:p>
        </w:tc>
      </w:tr>
      <w:tr>
        <w:trPr>
          <w:trHeight w:val="328"/>
        </w:trPr>
        <w:tc>
          <w:tcPr>
            <w:tcW w:w="2700" w:type="dxa"/>
            <w:vAlign w:val="bottom"/>
          </w:tcPr>
          <w:p>
            <w:pPr>
              <w:spacing w:after="0"/>
              <w:rPr>
                <w:sz w:val="20"/>
                <w:szCs w:val="20"/>
                <w:color w:val="auto"/>
              </w:rPr>
            </w:pPr>
            <w:r>
              <w:rPr>
                <w:rFonts w:ascii="Arial" w:cs="Arial" w:eastAsia="Arial" w:hAnsi="Arial"/>
                <w:sz w:val="18"/>
                <w:szCs w:val="18"/>
                <w:color w:val="auto"/>
              </w:rPr>
              <w:t>Brian C. Thomas, Ph.D.</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54</w:t>
            </w:r>
          </w:p>
        </w:tc>
        <w:tc>
          <w:tcPr>
            <w:tcW w:w="7440" w:type="dxa"/>
            <w:vAlign w:val="bottom"/>
          </w:tcPr>
          <w:p>
            <w:pPr>
              <w:ind w:left="260"/>
              <w:spacing w:after="0"/>
              <w:rPr>
                <w:sz w:val="20"/>
                <w:szCs w:val="20"/>
                <w:color w:val="auto"/>
              </w:rPr>
            </w:pPr>
            <w:r>
              <w:rPr>
                <w:rFonts w:ascii="Arial" w:cs="Arial" w:eastAsia="Arial" w:hAnsi="Arial"/>
                <w:sz w:val="18"/>
                <w:szCs w:val="18"/>
                <w:color w:val="auto"/>
              </w:rPr>
              <w:t>Chief Executive Officer</w:t>
            </w:r>
          </w:p>
        </w:tc>
      </w:tr>
      <w:tr>
        <w:trPr>
          <w:trHeight w:val="90"/>
        </w:trPr>
        <w:tc>
          <w:tcPr>
            <w:tcW w:w="2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40" w:type="dxa"/>
            <w:vAlign w:val="bottom"/>
          </w:tcPr>
          <w:p>
            <w:pPr>
              <w:spacing w:after="0"/>
              <w:rPr>
                <w:sz w:val="7"/>
                <w:szCs w:val="7"/>
                <w:color w:val="auto"/>
              </w:rPr>
            </w:pPr>
          </w:p>
        </w:tc>
      </w:tr>
      <w:tr>
        <w:trPr>
          <w:trHeight w:val="203"/>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Jian Irish, Ph.D., MBA</w:t>
            </w:r>
          </w:p>
        </w:tc>
        <w:tc>
          <w:tcPr>
            <w:tcW w:w="88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60</w:t>
            </w:r>
          </w:p>
        </w:tc>
        <w:tc>
          <w:tcPr>
            <w:tcW w:w="744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President and Chief Operating Officer</w:t>
            </w:r>
          </w:p>
        </w:tc>
      </w:tr>
      <w:tr>
        <w:trPr>
          <w:trHeight w:val="328"/>
        </w:trPr>
        <w:tc>
          <w:tcPr>
            <w:tcW w:w="2700" w:type="dxa"/>
            <w:vAlign w:val="bottom"/>
          </w:tcPr>
          <w:p>
            <w:pPr>
              <w:spacing w:after="0"/>
              <w:rPr>
                <w:sz w:val="20"/>
                <w:szCs w:val="20"/>
                <w:color w:val="auto"/>
              </w:rPr>
            </w:pPr>
            <w:r>
              <w:rPr>
                <w:rFonts w:ascii="Arial" w:cs="Arial" w:eastAsia="Arial" w:hAnsi="Arial"/>
                <w:sz w:val="18"/>
                <w:szCs w:val="18"/>
                <w:color w:val="auto"/>
              </w:rPr>
              <w:t>Sarah Noonberg, M.D., Ph.D.</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55</w:t>
            </w:r>
          </w:p>
        </w:tc>
        <w:tc>
          <w:tcPr>
            <w:tcW w:w="7440" w:type="dxa"/>
            <w:vAlign w:val="bottom"/>
          </w:tcPr>
          <w:p>
            <w:pPr>
              <w:ind w:left="260"/>
              <w:spacing w:after="0"/>
              <w:rPr>
                <w:sz w:val="20"/>
                <w:szCs w:val="20"/>
                <w:color w:val="auto"/>
              </w:rPr>
            </w:pPr>
            <w:r>
              <w:rPr>
                <w:rFonts w:ascii="Arial" w:cs="Arial" w:eastAsia="Arial" w:hAnsi="Arial"/>
                <w:sz w:val="18"/>
                <w:szCs w:val="18"/>
                <w:color w:val="auto"/>
              </w:rPr>
              <w:t>Chief Medical Officer</w:t>
            </w:r>
          </w:p>
        </w:tc>
      </w:tr>
      <w:tr>
        <w:trPr>
          <w:trHeight w:val="90"/>
        </w:trPr>
        <w:tc>
          <w:tcPr>
            <w:tcW w:w="2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40" w:type="dxa"/>
            <w:vAlign w:val="bottom"/>
          </w:tcPr>
          <w:p>
            <w:pPr>
              <w:spacing w:after="0"/>
              <w:rPr>
                <w:sz w:val="7"/>
                <w:szCs w:val="7"/>
                <w:color w:val="auto"/>
              </w:rPr>
            </w:pPr>
          </w:p>
        </w:tc>
      </w:tr>
      <w:tr>
        <w:trPr>
          <w:trHeight w:val="203"/>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Simon Harnest, M.Sc</w:t>
            </w:r>
          </w:p>
        </w:tc>
        <w:tc>
          <w:tcPr>
            <w:tcW w:w="88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36</w:t>
            </w:r>
          </w:p>
        </w:tc>
        <w:tc>
          <w:tcPr>
            <w:tcW w:w="744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Chief Investment Officer and Senior Vice President of Strategy</w:t>
            </w:r>
          </w:p>
        </w:tc>
      </w:tr>
      <w:tr>
        <w:trPr>
          <w:trHeight w:val="328"/>
        </w:trPr>
        <w:tc>
          <w:tcPr>
            <w:tcW w:w="2700" w:type="dxa"/>
            <w:vAlign w:val="bottom"/>
          </w:tcPr>
          <w:p>
            <w:pPr>
              <w:spacing w:after="0"/>
              <w:rPr>
                <w:sz w:val="20"/>
                <w:szCs w:val="20"/>
                <w:color w:val="auto"/>
              </w:rPr>
            </w:pPr>
            <w:r>
              <w:rPr>
                <w:rFonts w:ascii="Arial" w:cs="Arial" w:eastAsia="Arial" w:hAnsi="Arial"/>
                <w:sz w:val="18"/>
                <w:szCs w:val="18"/>
                <w:color w:val="auto"/>
              </w:rPr>
              <w:t>Alan Brooks, Ph.D.</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58</w:t>
            </w:r>
          </w:p>
        </w:tc>
        <w:tc>
          <w:tcPr>
            <w:tcW w:w="7440" w:type="dxa"/>
            <w:vAlign w:val="bottom"/>
          </w:tcPr>
          <w:p>
            <w:pPr>
              <w:ind w:left="260"/>
              <w:spacing w:after="0"/>
              <w:rPr>
                <w:sz w:val="20"/>
                <w:szCs w:val="20"/>
                <w:color w:val="auto"/>
              </w:rPr>
            </w:pPr>
            <w:r>
              <w:rPr>
                <w:rFonts w:ascii="Arial" w:cs="Arial" w:eastAsia="Arial" w:hAnsi="Arial"/>
                <w:sz w:val="18"/>
                <w:szCs w:val="18"/>
                <w:color w:val="auto"/>
              </w:rPr>
              <w:t>Senior Vice President of Preclinical</w:t>
            </w:r>
          </w:p>
        </w:tc>
      </w:tr>
      <w:tr>
        <w:trPr>
          <w:trHeight w:val="91"/>
        </w:trPr>
        <w:tc>
          <w:tcPr>
            <w:tcW w:w="2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40" w:type="dxa"/>
            <w:vAlign w:val="bottom"/>
          </w:tcPr>
          <w:p>
            <w:pPr>
              <w:spacing w:after="0"/>
              <w:rPr>
                <w:sz w:val="7"/>
                <w:szCs w:val="7"/>
                <w:color w:val="auto"/>
              </w:rPr>
            </w:pPr>
          </w:p>
        </w:tc>
      </w:tr>
      <w:tr>
        <w:trPr>
          <w:trHeight w:val="203"/>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Christopher T. Brown, Ph.D.</w:t>
            </w:r>
          </w:p>
        </w:tc>
        <w:tc>
          <w:tcPr>
            <w:tcW w:w="88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34</w:t>
            </w:r>
          </w:p>
        </w:tc>
        <w:tc>
          <w:tcPr>
            <w:tcW w:w="744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Vice President of Discovery</w:t>
            </w:r>
          </w:p>
        </w:tc>
      </w:tr>
      <w:tr>
        <w:trPr>
          <w:trHeight w:val="328"/>
        </w:trPr>
        <w:tc>
          <w:tcPr>
            <w:tcW w:w="2700" w:type="dxa"/>
            <w:vAlign w:val="bottom"/>
          </w:tcPr>
          <w:p>
            <w:pPr>
              <w:spacing w:after="0"/>
              <w:rPr>
                <w:sz w:val="20"/>
                <w:szCs w:val="20"/>
                <w:color w:val="auto"/>
              </w:rPr>
            </w:pPr>
            <w:r>
              <w:rPr>
                <w:rFonts w:ascii="Arial" w:cs="Arial" w:eastAsia="Arial" w:hAnsi="Arial"/>
                <w:sz w:val="18"/>
                <w:szCs w:val="18"/>
                <w:color w:val="auto"/>
              </w:rPr>
              <w:t>Simren Delaney, Ph.D., LLM</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38</w:t>
            </w:r>
          </w:p>
        </w:tc>
        <w:tc>
          <w:tcPr>
            <w:tcW w:w="7440" w:type="dxa"/>
            <w:vAlign w:val="bottom"/>
          </w:tcPr>
          <w:p>
            <w:pPr>
              <w:ind w:left="260"/>
              <w:spacing w:after="0"/>
              <w:rPr>
                <w:sz w:val="20"/>
                <w:szCs w:val="20"/>
                <w:color w:val="auto"/>
              </w:rPr>
            </w:pPr>
            <w:r>
              <w:rPr>
                <w:rFonts w:ascii="Arial" w:cs="Arial" w:eastAsia="Arial" w:hAnsi="Arial"/>
                <w:sz w:val="18"/>
                <w:szCs w:val="18"/>
                <w:color w:val="auto"/>
              </w:rPr>
              <w:t>Vice President of Legal</w:t>
            </w:r>
          </w:p>
        </w:tc>
      </w:tr>
      <w:tr>
        <w:trPr>
          <w:trHeight w:val="90"/>
        </w:trPr>
        <w:tc>
          <w:tcPr>
            <w:tcW w:w="2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40" w:type="dxa"/>
            <w:vAlign w:val="bottom"/>
          </w:tcPr>
          <w:p>
            <w:pPr>
              <w:spacing w:after="0"/>
              <w:rPr>
                <w:sz w:val="7"/>
                <w:szCs w:val="7"/>
                <w:color w:val="auto"/>
              </w:rPr>
            </w:pPr>
          </w:p>
        </w:tc>
      </w:tr>
      <w:tr>
        <w:trPr>
          <w:trHeight w:val="203"/>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Michael Conway, MBA, CPA</w:t>
            </w:r>
          </w:p>
        </w:tc>
        <w:tc>
          <w:tcPr>
            <w:tcW w:w="88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47</w:t>
            </w:r>
          </w:p>
        </w:tc>
        <w:tc>
          <w:tcPr>
            <w:tcW w:w="744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Vice President of Finance</w:t>
            </w:r>
          </w:p>
        </w:tc>
      </w:tr>
      <w:tr>
        <w:trPr>
          <w:trHeight w:val="328"/>
        </w:trPr>
        <w:tc>
          <w:tcPr>
            <w:tcW w:w="2700" w:type="dxa"/>
            <w:vAlign w:val="bottom"/>
          </w:tcPr>
          <w:p>
            <w:pPr>
              <w:spacing w:after="0"/>
              <w:rPr>
                <w:sz w:val="20"/>
                <w:szCs w:val="20"/>
                <w:color w:val="auto"/>
              </w:rPr>
            </w:pPr>
            <w:r>
              <w:rPr>
                <w:rFonts w:ascii="Arial" w:cs="Arial" w:eastAsia="Arial" w:hAnsi="Arial"/>
                <w:sz w:val="18"/>
                <w:szCs w:val="18"/>
                <w:i w:val="1"/>
                <w:iCs w:val="1"/>
                <w:color w:val="auto"/>
              </w:rPr>
              <w:t>Non-Employee Directors</w:t>
            </w:r>
          </w:p>
        </w:tc>
        <w:tc>
          <w:tcPr>
            <w:tcW w:w="880" w:type="dxa"/>
            <w:vAlign w:val="bottom"/>
          </w:tcPr>
          <w:p>
            <w:pPr>
              <w:spacing w:after="0"/>
              <w:rPr>
                <w:sz w:val="24"/>
                <w:szCs w:val="24"/>
                <w:color w:val="auto"/>
              </w:rPr>
            </w:pPr>
          </w:p>
        </w:tc>
        <w:tc>
          <w:tcPr>
            <w:tcW w:w="7440" w:type="dxa"/>
            <w:vAlign w:val="bottom"/>
          </w:tcPr>
          <w:p>
            <w:pPr>
              <w:spacing w:after="0"/>
              <w:rPr>
                <w:sz w:val="24"/>
                <w:szCs w:val="24"/>
                <w:color w:val="auto"/>
              </w:rPr>
            </w:pPr>
          </w:p>
        </w:tc>
      </w:tr>
      <w:tr>
        <w:trPr>
          <w:trHeight w:val="90"/>
        </w:trPr>
        <w:tc>
          <w:tcPr>
            <w:tcW w:w="2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40" w:type="dxa"/>
            <w:vAlign w:val="bottom"/>
          </w:tcPr>
          <w:p>
            <w:pPr>
              <w:spacing w:after="0"/>
              <w:rPr>
                <w:sz w:val="7"/>
                <w:szCs w:val="7"/>
                <w:color w:val="auto"/>
              </w:rPr>
            </w:pPr>
          </w:p>
        </w:tc>
      </w:tr>
      <w:tr>
        <w:trPr>
          <w:trHeight w:val="203"/>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Juergen Eckhardt, M.D., MBA</w:t>
            </w:r>
          </w:p>
        </w:tc>
        <w:tc>
          <w:tcPr>
            <w:tcW w:w="88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56</w:t>
            </w:r>
          </w:p>
        </w:tc>
        <w:tc>
          <w:tcPr>
            <w:tcW w:w="744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Director</w:t>
            </w:r>
          </w:p>
        </w:tc>
      </w:tr>
      <w:tr>
        <w:trPr>
          <w:trHeight w:val="328"/>
        </w:trPr>
        <w:tc>
          <w:tcPr>
            <w:tcW w:w="2700" w:type="dxa"/>
            <w:vAlign w:val="bottom"/>
          </w:tcPr>
          <w:p>
            <w:pPr>
              <w:spacing w:after="0"/>
              <w:rPr>
                <w:sz w:val="20"/>
                <w:szCs w:val="20"/>
                <w:color w:val="auto"/>
              </w:rPr>
            </w:pPr>
            <w:r>
              <w:rPr>
                <w:rFonts w:ascii="Arial" w:cs="Arial" w:eastAsia="Arial" w:hAnsi="Arial"/>
                <w:sz w:val="18"/>
                <w:szCs w:val="18"/>
                <w:color w:val="auto"/>
              </w:rPr>
              <w:t>Sebastián Bernales, Ph.D.</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47</w:t>
            </w:r>
          </w:p>
        </w:tc>
        <w:tc>
          <w:tcPr>
            <w:tcW w:w="7440" w:type="dxa"/>
            <w:vAlign w:val="bottom"/>
          </w:tcPr>
          <w:p>
            <w:pPr>
              <w:ind w:left="260"/>
              <w:spacing w:after="0"/>
              <w:rPr>
                <w:sz w:val="20"/>
                <w:szCs w:val="20"/>
                <w:color w:val="auto"/>
              </w:rPr>
            </w:pPr>
            <w:r>
              <w:rPr>
                <w:rFonts w:ascii="Arial" w:cs="Arial" w:eastAsia="Arial" w:hAnsi="Arial"/>
                <w:sz w:val="18"/>
                <w:szCs w:val="18"/>
                <w:color w:val="auto"/>
              </w:rPr>
              <w:t>Director</w:t>
            </w:r>
          </w:p>
        </w:tc>
      </w:tr>
      <w:tr>
        <w:trPr>
          <w:trHeight w:val="90"/>
        </w:trPr>
        <w:tc>
          <w:tcPr>
            <w:tcW w:w="2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40" w:type="dxa"/>
            <w:vAlign w:val="bottom"/>
          </w:tcPr>
          <w:p>
            <w:pPr>
              <w:spacing w:after="0"/>
              <w:rPr>
                <w:sz w:val="7"/>
                <w:szCs w:val="7"/>
                <w:color w:val="auto"/>
              </w:rPr>
            </w:pPr>
          </w:p>
        </w:tc>
      </w:tr>
      <w:tr>
        <w:trPr>
          <w:trHeight w:val="203"/>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Risa Stack, Ph.D.</w:t>
            </w:r>
          </w:p>
        </w:tc>
        <w:tc>
          <w:tcPr>
            <w:tcW w:w="88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55</w:t>
            </w:r>
          </w:p>
        </w:tc>
        <w:tc>
          <w:tcPr>
            <w:tcW w:w="744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Director</w:t>
            </w:r>
          </w:p>
        </w:tc>
      </w:tr>
      <w:tr>
        <w:trPr>
          <w:trHeight w:val="328"/>
        </w:trPr>
        <w:tc>
          <w:tcPr>
            <w:tcW w:w="2700" w:type="dxa"/>
            <w:vAlign w:val="bottom"/>
          </w:tcPr>
          <w:p>
            <w:pPr>
              <w:spacing w:after="0"/>
              <w:rPr>
                <w:sz w:val="20"/>
                <w:szCs w:val="20"/>
                <w:color w:val="auto"/>
              </w:rPr>
            </w:pPr>
            <w:r>
              <w:rPr>
                <w:rFonts w:ascii="Arial" w:cs="Arial" w:eastAsia="Arial" w:hAnsi="Arial"/>
                <w:sz w:val="18"/>
                <w:szCs w:val="18"/>
                <w:color w:val="auto"/>
              </w:rPr>
              <w:t>Willard Dere, M.D.</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69</w:t>
            </w:r>
          </w:p>
        </w:tc>
        <w:tc>
          <w:tcPr>
            <w:tcW w:w="7440" w:type="dxa"/>
            <w:vAlign w:val="bottom"/>
          </w:tcPr>
          <w:p>
            <w:pPr>
              <w:ind w:left="260"/>
              <w:spacing w:after="0"/>
              <w:rPr>
                <w:sz w:val="20"/>
                <w:szCs w:val="20"/>
                <w:color w:val="auto"/>
              </w:rPr>
            </w:pPr>
            <w:r>
              <w:rPr>
                <w:rFonts w:ascii="Arial" w:cs="Arial" w:eastAsia="Arial" w:hAnsi="Arial"/>
                <w:sz w:val="18"/>
                <w:szCs w:val="18"/>
                <w:color w:val="auto"/>
              </w:rPr>
              <w:t>Director</w:t>
            </w:r>
          </w:p>
        </w:tc>
      </w:tr>
      <w:tr>
        <w:trPr>
          <w:trHeight w:val="90"/>
        </w:trPr>
        <w:tc>
          <w:tcPr>
            <w:tcW w:w="2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40" w:type="dxa"/>
            <w:vAlign w:val="bottom"/>
          </w:tcPr>
          <w:p>
            <w:pPr>
              <w:spacing w:after="0"/>
              <w:rPr>
                <w:sz w:val="7"/>
                <w:szCs w:val="7"/>
                <w:color w:val="auto"/>
              </w:rPr>
            </w:pPr>
          </w:p>
        </w:tc>
      </w:tr>
      <w:tr>
        <w:trPr>
          <w:trHeight w:val="203"/>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Santhosh Palani, Ph.D.</w:t>
            </w:r>
          </w:p>
        </w:tc>
        <w:tc>
          <w:tcPr>
            <w:tcW w:w="88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40</w:t>
            </w:r>
          </w:p>
        </w:tc>
        <w:tc>
          <w:tcPr>
            <w:tcW w:w="744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6"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The following is a biographical summary of the experience of our executive officers and directors. There are no family relationships among any of our executive officers or directors.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Officers</w:t>
      </w:r>
    </w:p>
    <w:p>
      <w:pPr>
        <w:spacing w:after="0" w:line="148" w:lineRule="exact"/>
        <w:rPr>
          <w:sz w:val="20"/>
          <w:szCs w:val="20"/>
          <w:color w:val="auto"/>
        </w:rPr>
      </w:pPr>
    </w:p>
    <w:p>
      <w:pPr>
        <w:ind w:left="120" w:right="340"/>
        <w:spacing w:after="0" w:line="261" w:lineRule="auto"/>
        <w:rPr>
          <w:sz w:val="20"/>
          <w:szCs w:val="20"/>
          <w:color w:val="auto"/>
        </w:rPr>
      </w:pPr>
      <w:r>
        <w:rPr>
          <w:rFonts w:ascii="Arial" w:cs="Arial" w:eastAsia="Arial" w:hAnsi="Arial"/>
          <w:sz w:val="17"/>
          <w:szCs w:val="17"/>
          <w:b w:val="1"/>
          <w:bCs w:val="1"/>
          <w:i w:val="1"/>
          <w:iCs w:val="1"/>
          <w:color w:val="auto"/>
        </w:rPr>
        <w:t>Brian C. Thomas, Ph.D.</w:t>
      </w:r>
      <w:r>
        <w:rPr>
          <w:rFonts w:ascii="Arial" w:cs="Arial" w:eastAsia="Arial" w:hAnsi="Arial"/>
          <w:sz w:val="17"/>
          <w:szCs w:val="17"/>
          <w:color w:val="auto"/>
        </w:rPr>
        <w:t>, is our founder and has served as our Chief Executive Officer since September 2016. Since December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Thomas has served as Chairman of the Board of Directors of Haya Therapeutics, Inc. Previously, from 2001 to 2017, Dr. Thomas served as a program manager at University of California, Berkeley. From 1999 to 2001, Dr. Thomas served as a lead bioinformatics scientist at EOS Biotechnology (now PDL, Inc.). Dr. Thomas received his B.Sc. in cellular biology and his Ph.D. in biochemistry from University of Kansas and completed his post-doctoral research in computational biology at University of California, Berkeley.</w:t>
      </w:r>
    </w:p>
    <w:p>
      <w:pPr>
        <w:spacing w:after="0" w:line="85"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color w:val="auto"/>
        </w:rPr>
        <w:t>Our board of directors believes that Dr. Thomas is qualified to serve as a director because of his considerable academic and research expertise, as well as his expansive knowledge about our Company as our founder and Chief Executive Officer.</w:t>
      </w:r>
    </w:p>
    <w:p>
      <w:pPr>
        <w:spacing w:after="0" w:line="86" w:lineRule="exact"/>
        <w:rPr>
          <w:sz w:val="20"/>
          <w:szCs w:val="20"/>
          <w:color w:val="auto"/>
        </w:rPr>
      </w:pPr>
    </w:p>
    <w:p>
      <w:pPr>
        <w:jc w:val="both"/>
        <w:ind w:left="120" w:right="180"/>
        <w:spacing w:after="0" w:line="247" w:lineRule="auto"/>
        <w:rPr>
          <w:sz w:val="20"/>
          <w:szCs w:val="20"/>
          <w:color w:val="auto"/>
        </w:rPr>
      </w:pPr>
      <w:r>
        <w:rPr>
          <w:rFonts w:ascii="Arial" w:cs="Arial" w:eastAsia="Arial" w:hAnsi="Arial"/>
          <w:sz w:val="18"/>
          <w:szCs w:val="18"/>
          <w:b w:val="1"/>
          <w:bCs w:val="1"/>
          <w:i w:val="1"/>
          <w:iCs w:val="1"/>
          <w:color w:val="auto"/>
        </w:rPr>
        <w:t>Jian Irish, Ph.D., MBA</w:t>
      </w:r>
      <w:r>
        <w:rPr>
          <w:rFonts w:ascii="Arial" w:cs="Arial" w:eastAsia="Arial" w:hAnsi="Arial"/>
          <w:sz w:val="18"/>
          <w:szCs w:val="18"/>
          <w:color w:val="auto"/>
        </w:rPr>
        <w:t>, has served as our President since November 2021 and our Chief Operating Officer since January 2021.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us, Dr. Irish held positions as Senior Vice President, Global Head of Manufacturing and Senior Vice President of Supply Chain at Kite Pharma (now a subsidiary of Gilead) from September 2016 to December 2020. Dr. Irish served as Interim Chief Operating Officer of Affini-T Therapeutics from January 2021</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to January 2022. Dr. Irish also served as Interim Chief Technology Officer and a board member for Fosun Kite, a joint venture between Kite Pharma and Fosun Pharma, from October 2018 to April 2020. From December 2014 to August 2016, Dr. Irish held positions as Vice President of Biologics Supply, Outsourcing, Partnerships, and External Manufacturing and Vice President of Product Development at Sanofi. From January 2000 to September 2014, Dr. Irish held various leadership positions at Amgen in operations, including Executive Director of JAPAC Supply, Executive Director of Contract Manufacturing, Officer for Kirin-Amgen JV, and Global Operations Team Leader. Dr. Irish currently serves as an advisor to Ori Biotech, ORCA Biosystems, and ViTToria Biotherapeutics. Dr. Irish received a B.S. in chemical engineering from East China University of Science and Technology, an M.S. and Ph.D. in pharmaceutical sciences from Chiba University, and an MBA from University of California, Los Angeles, Anderson School of Management.</w:t>
      </w:r>
    </w:p>
    <w:p>
      <w:pPr>
        <w:spacing w:after="0" w:line="113"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b w:val="1"/>
          <w:bCs w:val="1"/>
          <w:i w:val="1"/>
          <w:iCs w:val="1"/>
          <w:color w:val="auto"/>
        </w:rPr>
        <w:t>Sarah Noonberg, M.D., Ph.D.</w:t>
      </w:r>
      <w:r>
        <w:rPr>
          <w:rFonts w:ascii="Arial" w:cs="Arial" w:eastAsia="Arial" w:hAnsi="Arial"/>
          <w:sz w:val="18"/>
          <w:szCs w:val="18"/>
          <w:color w:val="auto"/>
        </w:rPr>
        <w:t>, has served as our Chief Medical Officer since January 2023. Prior to joining us, Dr. Noonberg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Chief Medical Officer at Maze Therapeutics, Nohla Therapeutics and Prothena Corporation plc (Nasdaq: PRTA) from July 2020 to September 2022, May 2018 to May 2019 and May 2017 to May 2018, respectively. Dr. Noonberg served as Group Vice President and Head of Global Clinical Development at BioMarin Pharmaceuticals Inc. (Nasdaq: BMRN) from August 2015 to March 2017. From May 2007 to August 2015, she held several positions at Medivation, Inc., a biopharmaceutical company, culminating in the position of Senior Vice President of Early Development. Dr. Noonberg currently serves on the board of directors of Neoleukin Therapeutics (Nasdaq: NLTX) and Marinus Pharmaceuticals (Nasdaq: MRNS). She has also previously served on the board of directors of Protagonist Therapeutics, Inc. (Nasdaq: PTGX) from December 2017 to May 2023. Dr. Noonberg received her B.S. in engineering at Dartmouth College, her Ph.D. in bioengineering from the University of California, Berkeley and her M.D. from the University of California, San Francisco. Dr. Noonberg is a board-certified internist and completed her residency at Johns Hopkins Hospital.</w:t>
      </w:r>
    </w:p>
    <w:p>
      <w:pPr>
        <w:spacing w:after="0" w:line="112"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b w:val="1"/>
          <w:bCs w:val="1"/>
          <w:i w:val="1"/>
          <w:iCs w:val="1"/>
          <w:color w:val="auto"/>
        </w:rPr>
        <w:t>Simon Harnest, M.Sc</w:t>
      </w:r>
      <w:r>
        <w:rPr>
          <w:rFonts w:ascii="Arial" w:cs="Arial" w:eastAsia="Arial" w:hAnsi="Arial"/>
          <w:sz w:val="18"/>
          <w:szCs w:val="18"/>
          <w:color w:val="auto"/>
        </w:rPr>
        <w:t>, has served as our Chief Investment Officer and Senior Vice President of Strategy since July 2021. Prior to joining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Mr. Harnest held various positions, most recently as Chief Investment Officer and Senior Vice President of Strategy and Finance, at Cellectis Inc. from April 2014 to July 2021. Mr. Harnest also served as Vice President, Corporate Strategy and Finance at Calyxt from March 2016 to December 2019. Mr. Harnest received his B.Sc in economics from University of Westminster, Westminster Business School and his M.Sc in social studies from London School of Economics, London.</w:t>
      </w:r>
    </w:p>
    <w:p>
      <w:pPr>
        <w:spacing w:after="0" w:line="95"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b w:val="1"/>
          <w:bCs w:val="1"/>
          <w:i w:val="1"/>
          <w:iCs w:val="1"/>
          <w:color w:val="auto"/>
        </w:rPr>
        <w:t>Alan Brooks, Ph.D.</w:t>
      </w:r>
      <w:r>
        <w:rPr>
          <w:rFonts w:ascii="Arial" w:cs="Arial" w:eastAsia="Arial" w:hAnsi="Arial"/>
          <w:sz w:val="18"/>
          <w:szCs w:val="18"/>
          <w:color w:val="auto"/>
        </w:rPr>
        <w:t>, has served as our Senior Vice President of Preclinical since January 2023 and previously served as our Director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Preclinical and Vice President of Preclinical from November 2019 to January 2023. Prior to joining us, Dr. Brooks served as a principal scientist at Casebia Therapeutics from August 2017 to August 2019. From October 2007 to August 2017, Dr. Brooks held various positions at Bayer AG, including scientist, senior scientist and principal scientist. Dr. Brooks received his B.Sc in biological sciences from University of Leicester, UK and his Ph.D. in molecular and developmental biology from University of Warwick, UK. He completed his postdoctoral fellowship at the Gladstone Institute/University of California, San Francisco.</w:t>
      </w:r>
    </w:p>
    <w:p>
      <w:pPr>
        <w:spacing w:after="0" w:line="111"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b w:val="1"/>
          <w:bCs w:val="1"/>
          <w:i w:val="1"/>
          <w:iCs w:val="1"/>
          <w:color w:val="auto"/>
        </w:rPr>
        <w:t xml:space="preserve">Christopher T. Brown, Ph.D., </w:t>
      </w:r>
      <w:r>
        <w:rPr>
          <w:rFonts w:ascii="Arial" w:cs="Arial" w:eastAsia="Arial" w:hAnsi="Arial"/>
          <w:sz w:val="18"/>
          <w:szCs w:val="18"/>
          <w:color w:val="auto"/>
        </w:rPr>
        <w:t>has served as our Vice President of Discovery since January 2023 and previously served as our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Bioinformatics Scientist, Director of Discovery and Senior Director of Discovery from September 2018 to December 2022. Prior to joining us, Dr. Brown conducted post-doctoral research at the University of California, Berkeley from January 2017 to August 2018. He received his B.Sc in microbiology from the University of Florida and his Ph.D. in plant and microbial biology from the University of California, Berkeley.</w:t>
      </w:r>
    </w:p>
    <w:p>
      <w:pPr>
        <w:spacing w:after="0" w:line="109"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b w:val="1"/>
          <w:bCs w:val="1"/>
          <w:i w:val="1"/>
          <w:iCs w:val="1"/>
          <w:color w:val="auto"/>
        </w:rPr>
        <w:t>Simren Delaney, Ph.D., LLM</w:t>
      </w:r>
      <w:r>
        <w:rPr>
          <w:rFonts w:ascii="Arial" w:cs="Arial" w:eastAsia="Arial" w:hAnsi="Arial"/>
          <w:sz w:val="18"/>
          <w:szCs w:val="18"/>
          <w:color w:val="auto"/>
        </w:rPr>
        <w:t>, has served as our Vice President of Legal since February 2020 and previously served as our Chief of Staff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January 2022 to December 2022. Prior to joining us, Dr. Delaney was an associate at Wilson Sonsini Goodrich &amp; Rosati from October 2016 to February 2020. Dr. Delaney received her B.Sc in science, LL.B. and Ph.D. in organic chemistry from Deakin University, and her LL.M. from University of California, College of the Law, San Francisco.</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b w:val="1"/>
          <w:bCs w:val="1"/>
          <w:i w:val="1"/>
          <w:iCs w:val="1"/>
          <w:color w:val="auto"/>
        </w:rPr>
        <w:t xml:space="preserve">Michael Conway, MBA, CPA, </w:t>
      </w:r>
      <w:r>
        <w:rPr>
          <w:rFonts w:ascii="Arial" w:cs="Arial" w:eastAsia="Arial" w:hAnsi="Arial"/>
          <w:sz w:val="18"/>
          <w:szCs w:val="18"/>
          <w:color w:val="auto"/>
        </w:rPr>
        <w:t>has served as our Vice President of Finance since March 2022. Prior to joining us, Mr. Conway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Director of Financial Planning and Analysis and Vice President of Finance at Adamas Pharmaceuticals, Inc. from March 2016 to December 2021, where he was responsible for leading the accounting and financial planning and analysis functions. Mr. Conway received his BBA in management information systems from University of Notre Dame, his MBA from University of Michigan, Ross School of Business, and is a certified public accountant in the state of California.</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Non-Employee Directors</w:t>
      </w:r>
    </w:p>
    <w:p>
      <w:pPr>
        <w:spacing w:after="0" w:line="135"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b w:val="1"/>
          <w:bCs w:val="1"/>
          <w:i w:val="1"/>
          <w:iCs w:val="1"/>
          <w:color w:val="auto"/>
        </w:rPr>
        <w:t>Juergen Eckhardt, M.D., MBA</w:t>
      </w:r>
      <w:r>
        <w:rPr>
          <w:rFonts w:ascii="Arial" w:cs="Arial" w:eastAsia="Arial" w:hAnsi="Arial"/>
          <w:sz w:val="18"/>
          <w:szCs w:val="18"/>
          <w:color w:val="auto"/>
        </w:rPr>
        <w:t>, has served as our Chairman of the Board of Directors since September 2020. Dr. Eckhardt has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Head of Leaps at Bayer AG since February 2019 and previously served as Head of Venture Investments from September 2016 to February 2019. He currently serves on the boards of Dewpoint Therapeutics, Khloris Biosciences, Oerth Bio, and a few other private biotechnology companies and foundations. Previously, Dr. Eckhardt served as a management consultant and Associate Partner at McKinsey &amp; Co. and a member of McKinsey’s Healthcare Leadership Team from 1994 to 2002. Dr. Eckhardt received his M.D. from the University of Basel and his MBA from INSEAD in Fontainebleau, France.</w:t>
      </w:r>
    </w:p>
    <w:p>
      <w:pPr>
        <w:spacing w:after="0" w:line="111" w:lineRule="exact"/>
        <w:rPr>
          <w:sz w:val="20"/>
          <w:szCs w:val="20"/>
          <w:color w:val="auto"/>
        </w:rPr>
      </w:pPr>
    </w:p>
    <w:p>
      <w:pPr>
        <w:ind w:left="120" w:right="660"/>
        <w:spacing w:after="0" w:line="271" w:lineRule="auto"/>
        <w:rPr>
          <w:sz w:val="20"/>
          <w:szCs w:val="20"/>
          <w:color w:val="auto"/>
        </w:rPr>
      </w:pPr>
      <w:r>
        <w:rPr>
          <w:rFonts w:ascii="Arial" w:cs="Arial" w:eastAsia="Arial" w:hAnsi="Arial"/>
          <w:sz w:val="18"/>
          <w:szCs w:val="18"/>
          <w:color w:val="auto"/>
        </w:rPr>
        <w:t>Our board of directors believes that Dr. Eckhardt is qualified to serve as a director because of his extensive experience in strategy, finance, leadership and drug development.</w:t>
      </w:r>
    </w:p>
    <w:p>
      <w:pPr>
        <w:spacing w:after="0" w:line="86"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b w:val="1"/>
          <w:bCs w:val="1"/>
          <w:i w:val="1"/>
          <w:iCs w:val="1"/>
          <w:color w:val="auto"/>
        </w:rPr>
        <w:t>Sebastián Bernales, Ph.D.</w:t>
      </w:r>
      <w:r>
        <w:rPr>
          <w:rFonts w:ascii="Arial" w:cs="Arial" w:eastAsia="Arial" w:hAnsi="Arial"/>
          <w:sz w:val="18"/>
          <w:szCs w:val="18"/>
          <w:color w:val="auto"/>
        </w:rPr>
        <w:t>, has served on our board of directors since December 2020 and previously served as a Director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Metagenomi, Inc. from September 2016 to April 2020. Dr. Bernales has been a General Partner at Humboldt Fund since February 2020 and has been a Venture Partner at DROIA Ventures since August 2020. He has served as the Chief Executive Officer of Praxis Biotech LLC since July 2016 and a member of Sake Holdings LLC since May 2020. Dr. Bernales is also the founder of Merken Biotech. Dr. Bernales is a member of the boards of directors of PhageLab, Botanical Solutions, Momentum, Vedra, Alesta, and a few other private biotechnology companies and foundations. Dr. Bernales currently serves as an advisor to NotCo, Levita Magnetics, and Leyden Labs. From 2007 to 2016, Dr. Bernales worked at Medivation Inc., culminating in the position of Vice President of Discovery Biology. He received his B.S. from Catholic University in Chile and his Ph.D. in cell biology at the University of California in San Francisco. He completed his postdoctoral training at the University of California in San Francisco.</w:t>
      </w:r>
    </w:p>
    <w:p>
      <w:pPr>
        <w:spacing w:after="0" w:line="102"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Our board of directors believes that Dr. Bernales is qualified to serve as a director because of his significant experience in biotechnology industry.</w:t>
      </w:r>
    </w:p>
    <w:p>
      <w:pPr>
        <w:spacing w:after="0" w:line="86" w:lineRule="exact"/>
        <w:rPr>
          <w:sz w:val="20"/>
          <w:szCs w:val="20"/>
          <w:color w:val="auto"/>
        </w:rPr>
      </w:pPr>
    </w:p>
    <w:p>
      <w:pPr>
        <w:ind w:left="120" w:right="60"/>
        <w:spacing w:after="0"/>
        <w:rPr>
          <w:sz w:val="20"/>
          <w:szCs w:val="20"/>
          <w:color w:val="auto"/>
        </w:rPr>
      </w:pPr>
      <w:r>
        <w:rPr>
          <w:rFonts w:ascii="Arial" w:cs="Arial" w:eastAsia="Arial" w:hAnsi="Arial"/>
          <w:sz w:val="18"/>
          <w:szCs w:val="18"/>
          <w:b w:val="1"/>
          <w:bCs w:val="1"/>
          <w:i w:val="1"/>
          <w:iCs w:val="1"/>
          <w:color w:val="auto"/>
        </w:rPr>
        <w:t>Risa Stack, Ph.D.</w:t>
      </w:r>
      <w:r>
        <w:rPr>
          <w:rFonts w:ascii="Arial" w:cs="Arial" w:eastAsia="Arial" w:hAnsi="Arial"/>
          <w:sz w:val="18"/>
          <w:szCs w:val="18"/>
          <w:color w:val="auto"/>
        </w:rPr>
        <w:t>, has served on our board of directors since April 2022. Dr. Stack has been a Partner at The Production Board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2022. Previously, Dr. Stack was a Venture Partner at RA Capital from September 2020 to March 2022. Dr. Stack was a founder and served as Chairperson of Menlo Microsystems from December 2016 to September 2018, and served as a General Manager at General Electric from January 2013 to September 2018. Dr. Stack was a Partner at Kleiner Perkins from June 2003 to December 2012. Before joining Kleiner Perkins, Dr. Stack was a Principal at JP Morgan Partners from September 1996 to May 2003. Dr. Stack currently serves on the Board of Directors of COPD Foundation. Dr. Stack received her B.S. in genetics and development from the University of Illinois and her Ph.D. in immunology from the University of Chicago. Dr. Stack was a member of the second class of Kauffman Fellows.</w:t>
      </w:r>
    </w:p>
    <w:p>
      <w:pPr>
        <w:spacing w:after="0" w:line="117" w:lineRule="exact"/>
        <w:rPr>
          <w:sz w:val="20"/>
          <w:szCs w:val="20"/>
          <w:color w:val="auto"/>
        </w:rPr>
      </w:pPr>
    </w:p>
    <w:p>
      <w:pPr>
        <w:ind w:left="120" w:right="840"/>
        <w:spacing w:after="0" w:line="301" w:lineRule="auto"/>
        <w:rPr>
          <w:sz w:val="20"/>
          <w:szCs w:val="20"/>
          <w:color w:val="auto"/>
        </w:rPr>
      </w:pPr>
      <w:r>
        <w:rPr>
          <w:rFonts w:ascii="Arial" w:cs="Arial" w:eastAsia="Arial" w:hAnsi="Arial"/>
          <w:sz w:val="17"/>
          <w:szCs w:val="17"/>
          <w:color w:val="auto"/>
        </w:rPr>
        <w:t>Our board of directors believes that Dr. Stack is qualified to serve as a director because of her extensive investment experience, knowledge of financial markets and expertise in personalized medicine, therapeutics and platform technology companies.</w:t>
      </w:r>
    </w:p>
    <w:p>
      <w:pPr>
        <w:spacing w:after="0" w:line="50"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Willard Dere, M.D.</w:t>
      </w:r>
      <w:r>
        <w:rPr>
          <w:rFonts w:ascii="Arial" w:cs="Arial" w:eastAsia="Arial" w:hAnsi="Arial"/>
          <w:sz w:val="18"/>
          <w:szCs w:val="18"/>
          <w:color w:val="auto"/>
        </w:rPr>
        <w:t>, has served on our board of directors since August 2021. Dr. Dere currently serves as Chief Advisor and Chief Medical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at Angitia since July 2022, and on the board of directors of BioMarin, Seres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and Mersana. He also serves on the Scientific Advisory Boards of Surrozen, AliveGen and Heranova Lifesciences Dr. Dere served as a Professor of Internal Medicine from November 2014 to July 2022 at the University of Utah School of Medicine, and is currently Professor Emeritus, a position he has held since July 2022. Dr. Dere also served as Associate Vice President for Research, Co-Director of The Center for Genomic Medicine and Co-Director of the Utah Clinical and Translational Science Institute at the University of Utah Health Sciences Center during this time period. Before joining the University of Utah, Dr. Dere held various positions at Amgen, Inc., including Senior Vice President of Global Development and Corporate, then International Chief Medical Officer, from July 2003 to October 2014. From 1989 to 2003, Dr. Dere held multiple positions in clinical research, and regulatory affairs and safety at Eli Lilly and Company. He was also an assistant professor from 1989 to 1999 and a clinical associate professor from 1999 to 2009 at the Indiana University School of Medicine. Dr. Dere received his B.A. in history, zoology and M.D. from the University of California, Davis; he completed his postdoctoral training at the University of Utah in internal medicine, and at the University of California, San Francisco in endocrinology and metabolism.</w:t>
      </w:r>
    </w:p>
    <w:p>
      <w:pPr>
        <w:spacing w:after="0" w:line="112"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Our board of directors believes that Dr. Dere is qualified to serve as a director because of extensive experience in drug development, and as a board of directors member on several public companies.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Santhosh Palani, Ph.D.</w:t>
      </w:r>
      <w:r>
        <w:rPr>
          <w:rFonts w:ascii="Arial" w:cs="Arial" w:eastAsia="Arial" w:hAnsi="Arial"/>
          <w:sz w:val="18"/>
          <w:szCs w:val="18"/>
          <w:color w:val="auto"/>
        </w:rPr>
        <w:t>, has served on our board of directors since January 2022. Dr. Palani is currently an investment partner at PFM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Health Sciences since June 2020. He was a Principal at New Enterprise Associates from May 2018 to May 2020. From 2016 to 2018,</w:t>
      </w:r>
    </w:p>
    <w:p>
      <w:pPr>
        <w:ind w:left="120"/>
        <w:spacing w:after="0"/>
        <w:rPr>
          <w:sz w:val="20"/>
          <w:szCs w:val="20"/>
          <w:color w:val="auto"/>
        </w:rPr>
      </w:pPr>
      <w:r>
        <w:rPr>
          <w:rFonts w:ascii="Arial" w:cs="Arial" w:eastAsia="Arial" w:hAnsi="Arial"/>
          <w:sz w:val="17"/>
          <w:szCs w:val="17"/>
          <w:color w:val="auto"/>
        </w:rPr>
        <w:t>Dr. Palani was a Vice President at Cowen and Company. He previously served as an Associate Director in Oncology Clinical Development</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Pfizer from 2013 to 2016 and as a Scientist in Oncology Preclinical Development at Takeda Pharmaceuticals from 2012 to 2013. Dr.</w:t>
      </w:r>
    </w:p>
    <w:p>
      <w:pPr>
        <w:ind w:left="120"/>
        <w:spacing w:after="0" w:line="234" w:lineRule="auto"/>
        <w:rPr>
          <w:sz w:val="20"/>
          <w:szCs w:val="20"/>
          <w:color w:val="auto"/>
        </w:rPr>
      </w:pPr>
      <w:r>
        <w:rPr>
          <w:rFonts w:ascii="Arial" w:cs="Arial" w:eastAsia="Arial" w:hAnsi="Arial"/>
          <w:sz w:val="18"/>
          <w:szCs w:val="18"/>
          <w:color w:val="auto"/>
        </w:rPr>
        <w:t>Palani currently serves on the Board of Directors of Turnstone Biologics. Dr. Palani received his B.S. and M.S. in chemical engineering</w:t>
      </w:r>
    </w:p>
    <w:p>
      <w:pPr>
        <w:ind w:left="120"/>
        <w:spacing w:after="0" w:line="235" w:lineRule="auto"/>
        <w:rPr>
          <w:sz w:val="20"/>
          <w:szCs w:val="20"/>
          <w:color w:val="auto"/>
        </w:rPr>
      </w:pPr>
      <w:r>
        <w:rPr>
          <w:rFonts w:ascii="Arial" w:cs="Arial" w:eastAsia="Arial" w:hAnsi="Arial"/>
          <w:sz w:val="18"/>
          <w:szCs w:val="18"/>
          <w:color w:val="auto"/>
        </w:rPr>
        <w:t>from the University of Madras and Texas A&amp;M University, respectively. Dr. Palani received his Ph.D. in Bioengineering from the University</w:t>
      </w:r>
    </w:p>
    <w:p>
      <w:pPr>
        <w:ind w:left="120"/>
        <w:spacing w:after="0" w:line="235" w:lineRule="auto"/>
        <w:rPr>
          <w:sz w:val="20"/>
          <w:szCs w:val="20"/>
          <w:color w:val="auto"/>
        </w:rPr>
      </w:pPr>
      <w:r>
        <w:rPr>
          <w:rFonts w:ascii="Arial" w:cs="Arial" w:eastAsia="Arial" w:hAnsi="Arial"/>
          <w:sz w:val="18"/>
          <w:szCs w:val="18"/>
          <w:color w:val="auto"/>
        </w:rPr>
        <w:t>of Pennsylvania and completed his postdoctoral work in biochemistry and molecular biophysics at Columbia University. Dr. Palani is a</w:t>
      </w:r>
    </w:p>
    <w:p>
      <w:pPr>
        <w:ind w:left="120"/>
        <w:spacing w:after="0"/>
        <w:rPr>
          <w:sz w:val="20"/>
          <w:szCs w:val="20"/>
          <w:color w:val="auto"/>
        </w:rPr>
      </w:pPr>
      <w:r>
        <w:rPr>
          <w:rFonts w:ascii="Arial" w:cs="Arial" w:eastAsia="Arial" w:hAnsi="Arial"/>
          <w:sz w:val="18"/>
          <w:szCs w:val="18"/>
          <w:color w:val="auto"/>
        </w:rPr>
        <w:t>CFA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Charterholder.</w:t>
      </w:r>
    </w:p>
    <w:p>
      <w:pPr>
        <w:spacing w:after="0" w:line="39" w:lineRule="exact"/>
        <w:rPr>
          <w:sz w:val="20"/>
          <w:szCs w:val="20"/>
          <w:color w:val="auto"/>
        </w:rPr>
      </w:pPr>
    </w:p>
    <w:p>
      <w:pPr>
        <w:ind w:left="120" w:right="80"/>
        <w:spacing w:after="0" w:line="250" w:lineRule="auto"/>
        <w:rPr>
          <w:sz w:val="20"/>
          <w:szCs w:val="20"/>
          <w:color w:val="auto"/>
        </w:rPr>
      </w:pPr>
      <w:r>
        <w:rPr>
          <w:rFonts w:ascii="Arial" w:cs="Arial" w:eastAsia="Arial" w:hAnsi="Arial"/>
          <w:sz w:val="18"/>
          <w:szCs w:val="18"/>
          <w:color w:val="auto"/>
        </w:rPr>
        <w:t>Our board of directors believes that Dr. Palani is qualified to serve as a director because of his strong financial background and significant industry experience in the fields of internal medicine and endocrinology.</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Composition</w:t>
      </w:r>
    </w:p>
    <w:p>
      <w:pPr>
        <w:spacing w:after="0" w:line="13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Our board of managers currently consists of 6 members, each of whom is a member pursuant to the board composition provisions of our current certificate of incorporation and agreements with our stockholders, which agreements are described in the section of this prospectus entitled “Certain Relationships and Related Person Transactions.” These board composition provisions will terminate upon the closing of this offering. Upon the termination of these provisions, there will be no further contractual obligations regarding the election of our directors. Our nomination and corporate governance committee and our board of directors may therefore consider a broad range of factors relating to the qualifications and background of nominees. Our nomination and corporate governance committee’s and our board of directors’ priority in selecting board members is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their earlier resignation or removal. Our amended and restated certificate of incorporation and amended and restated bylaws that will become effective upon the closing of this offering also provide that our directors may be removed only for cause by the affirmative vote of the holders of at least two-thirds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Staggered Board</w:t>
      </w:r>
    </w:p>
    <w:p>
      <w:pPr>
        <w:spacing w:after="0" w:line="148"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In accordance with the terms of our amended and restated certificate of incorporation and our amended and restated bylaws that will become effective upon the closing of this offering, our board of directors will be divided into three staggered classes of directors and each director will be assigned to one of the three classes. At each annual meeting of the stockholders, one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2024 for Class I directors, 2025 for Class II directors and 2026 for Class III directors.</w:t>
      </w:r>
    </w:p>
    <w:p>
      <w:pPr>
        <w:spacing w:after="0" w:line="10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860" w:type="dxa"/>
            <w:vAlign w:val="bottom"/>
            <w:gridSpan w:val="2"/>
          </w:tcPr>
          <w:p>
            <w:pPr>
              <w:spacing w:after="0"/>
              <w:rPr>
                <w:sz w:val="20"/>
                <w:szCs w:val="20"/>
                <w:color w:val="auto"/>
              </w:rPr>
            </w:pPr>
            <w:r>
              <w:rPr>
                <w:rFonts w:ascii="Arial" w:cs="Arial" w:eastAsia="Arial" w:hAnsi="Arial"/>
                <w:sz w:val="18"/>
                <w:szCs w:val="18"/>
                <w:color w:val="auto"/>
              </w:rPr>
              <w:t>•  Our Class I directors will be</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w:t>
            </w:r>
          </w:p>
        </w:tc>
      </w:tr>
      <w:tr>
        <w:trPr>
          <w:trHeight w:val="202"/>
        </w:trPr>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720" w:type="dxa"/>
            <w:vAlign w:val="bottom"/>
          </w:tcPr>
          <w:p>
            <w:pPr>
              <w:ind w:left="80"/>
              <w:spacing w:after="0" w:line="202" w:lineRule="exact"/>
              <w:rPr>
                <w:sz w:val="20"/>
                <w:szCs w:val="20"/>
                <w:color w:val="auto"/>
              </w:rPr>
            </w:pPr>
            <w:r>
              <w:rPr>
                <w:rFonts w:ascii="Arial" w:cs="Arial" w:eastAsia="Arial" w:hAnsi="Arial"/>
                <w:sz w:val="18"/>
                <w:szCs w:val="18"/>
                <w:color w:val="auto"/>
              </w:rPr>
              <w:t>Our Class II directors will be</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 and</w:t>
            </w:r>
          </w:p>
        </w:tc>
      </w:tr>
      <w:tr>
        <w:trPr>
          <w:trHeight w:val="239"/>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tcPr>
          <w:p>
            <w:pPr>
              <w:ind w:left="80"/>
              <w:spacing w:after="0"/>
              <w:rPr>
                <w:sz w:val="20"/>
                <w:szCs w:val="20"/>
                <w:color w:val="auto"/>
              </w:rPr>
            </w:pPr>
            <w:r>
              <w:rPr>
                <w:rFonts w:ascii="Arial" w:cs="Arial" w:eastAsia="Arial" w:hAnsi="Arial"/>
                <w:sz w:val="18"/>
                <w:szCs w:val="18"/>
                <w:color w:val="auto"/>
              </w:rPr>
              <w:t>Our Class III directors will be</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w:t>
            </w:r>
          </w:p>
        </w:tc>
      </w:tr>
    </w:tbl>
    <w:p>
      <w:pPr>
        <w:spacing w:after="0" w:line="112" w:lineRule="exact"/>
        <w:rPr>
          <w:sz w:val="20"/>
          <w:szCs w:val="20"/>
          <w:color w:val="auto"/>
        </w:rPr>
      </w:pPr>
    </w:p>
    <w:p>
      <w:pPr>
        <w:jc w:val="both"/>
        <w:ind w:left="120"/>
        <w:spacing w:after="0" w:line="301" w:lineRule="auto"/>
        <w:rPr>
          <w:sz w:val="20"/>
          <w:szCs w:val="20"/>
          <w:color w:val="auto"/>
        </w:rPr>
      </w:pPr>
      <w:r>
        <w:rPr>
          <w:rFonts w:ascii="Arial" w:cs="Arial" w:eastAsia="Arial" w:hAnsi="Arial"/>
          <w:sz w:val="17"/>
          <w:szCs w:val="17"/>
          <w:color w:val="auto"/>
        </w:rPr>
        <w:t>Our amended and restated certificate of incorporation and amended and restated bylaws that will become effective upon the closing of this offering will provide that the number of our directors shall be fixed from time to time by a resolution of the majority of our board of directors.</w:t>
      </w:r>
    </w:p>
    <w:p>
      <w:pPr>
        <w:spacing w:after="0" w:line="50"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stockholder efforts to effect a change of our management or a change in control.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Independence</w:t>
      </w:r>
    </w:p>
    <w:p>
      <w:pPr>
        <w:spacing w:after="0" w:line="135" w:lineRule="exact"/>
        <w:rPr>
          <w:sz w:val="20"/>
          <w:szCs w:val="20"/>
          <w:color w:val="auto"/>
        </w:rPr>
      </w:pPr>
    </w:p>
    <w:p>
      <w:pPr>
        <w:ind w:left="120"/>
        <w:spacing w:after="0" w:line="251" w:lineRule="auto"/>
        <w:rPr>
          <w:sz w:val="20"/>
          <w:szCs w:val="20"/>
          <w:color w:val="auto"/>
        </w:rPr>
      </w:pPr>
      <w:r>
        <w:rPr>
          <w:rFonts w:ascii="Arial" w:cs="Arial" w:eastAsia="Arial" w:hAnsi="Arial"/>
          <w:sz w:val="17"/>
          <w:szCs w:val="17"/>
          <w:color w:val="auto"/>
        </w:rPr>
        <w:t>We have applied to list our common stock on the Nasdaq Global Select Market. 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of 1934 (the “Exchange Act”), and compensation committee members must also satisfy the independence criteria set forth in Rule 10C-1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other than compensation for board service; or (ii)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16" w:lineRule="exact"/>
        <w:rPr>
          <w:sz w:val="20"/>
          <w:szCs w:val="20"/>
          <w:color w:val="auto"/>
        </w:rPr>
      </w:pPr>
    </w:p>
    <w:p>
      <w:pPr>
        <w:jc w:val="both"/>
        <w:ind w:left="120" w:right="660"/>
        <w:spacing w:after="0" w:line="255" w:lineRule="auto"/>
        <w:rPr>
          <w:sz w:val="20"/>
          <w:szCs w:val="20"/>
          <w:color w:val="auto"/>
        </w:rPr>
      </w:pPr>
      <w:r>
        <w:rPr>
          <w:rFonts w:ascii="Arial" w:cs="Arial" w:eastAsia="Arial" w:hAnsi="Arial"/>
          <w:sz w:val="17"/>
          <w:szCs w:val="17"/>
          <w:color w:val="auto"/>
        </w:rPr>
        <w:t>In 2023, our board of directors undertook a review of the composition of our board of directors and its committees and the independence of each director. Based upon information requested from and provided by each director concerning his background, employment and affiliations, including family relationships, our board of directors has determined that all members of our board of</w:t>
      </w:r>
    </w:p>
    <w:p>
      <w:pPr>
        <w:spacing w:after="0" w:line="2" w:lineRule="exact"/>
        <w:rPr>
          <w:sz w:val="20"/>
          <w:szCs w:val="20"/>
          <w:color w:val="auto"/>
        </w:rPr>
      </w:pPr>
    </w:p>
    <w:p>
      <w:pPr>
        <w:ind w:left="120"/>
        <w:spacing w:after="0"/>
        <w:tabs>
          <w:tab w:leader="none" w:pos="2220" w:val="left"/>
        </w:tabs>
        <w:rPr>
          <w:sz w:val="20"/>
          <w:szCs w:val="20"/>
          <w:color w:val="auto"/>
        </w:rPr>
      </w:pPr>
      <w:r>
        <w:rPr>
          <w:rFonts w:ascii="Arial" w:cs="Arial" w:eastAsia="Arial" w:hAnsi="Arial"/>
          <w:sz w:val="18"/>
          <w:szCs w:val="18"/>
          <w:color w:val="auto"/>
        </w:rPr>
        <w:t>directors, except</w:t>
      </w:r>
      <w:r>
        <w:rPr>
          <w:sz w:val="20"/>
          <w:szCs w:val="20"/>
          <w:color w:val="auto"/>
        </w:rPr>
        <w:tab/>
      </w:r>
      <w:r>
        <w:rPr>
          <w:rFonts w:ascii="Arial" w:cs="Arial" w:eastAsia="Arial" w:hAnsi="Arial"/>
          <w:sz w:val="17"/>
          <w:szCs w:val="17"/>
          <w:color w:val="auto"/>
        </w:rPr>
        <w:t>, are independent</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directors, including for purposes of Nasdaq and the SEC rules. In making that determination, our board of directors considered the relationships that each director has with us and all other facts and circumstances the board of directors deemed relevant in determining independence, including the potential deemed beneficial ownership of our capital stock by each director, including non-employee directors that are affiliated with certain of our major stockholders. Upon the completion of this offering, we expect that the composition and functioning of our board of directors and each of our committees will comply with all applicable requirements of Nasdaq and the rules and regulations of the SEC. There are no family relationships among any of our executive officers and directors.</w:t>
      </w:r>
    </w:p>
    <w:p>
      <w:pPr>
        <w:spacing w:after="0" w:line="111"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We intend to adopt a policy, subject to and effective upon the effectiveness of the registration statement of which this prospectus forms a part, that outlines a process for our securityholders to send communications to the board of directors.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Committees</w:t>
      </w:r>
    </w:p>
    <w:p>
      <w:pPr>
        <w:spacing w:after="0" w:line="148"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Our board of directors will establish an audit committee, a compensation committee and a nomination and corporate governance committee, each of which will operate pursuant to a charter to be adopted by our board of directors and will be effective upon the effectiveness of the registration statement of which this prospectus forms a part. We believe that the composition and functioning of all of our committees will comply with the applicable requirements of Nasdaq, the Sarbanes-Oxley Act of 2002 and SEC rules and regulations that will be applicable to us. We intend to comply with future requirements to the extent they become applicable to us.</w:t>
      </w:r>
    </w:p>
    <w:p>
      <w:pPr>
        <w:spacing w:after="0" w:line="10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Following the consummation of this offering, the full text of our audit committee charter, compensation committee charter and nomination and corporate governance committee charter will be posted on the investor relations portion of our website at https://www.metagenomi.co. We do not incorporate the information contained on, or accessible through, our corporate website into this prospectus, and you should not consider it a part of this prospectus.</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Upon the effectiveness of the registration statement of which this prospectus forms a part, our audit committee will consist of</w:t>
      </w:r>
    </w:p>
    <w:p>
      <w:pPr>
        <w:spacing w:after="0" w:line="14" w:lineRule="exact"/>
        <w:rPr>
          <w:sz w:val="20"/>
          <w:szCs w:val="20"/>
          <w:color w:val="auto"/>
        </w:rPr>
      </w:pPr>
    </w:p>
    <w:p>
      <w:pPr>
        <w:ind w:left="120"/>
        <w:spacing w:after="0"/>
        <w:tabs>
          <w:tab w:leader="none" w:pos="2620" w:val="left"/>
        </w:tabs>
        <w:rPr>
          <w:sz w:val="20"/>
          <w:szCs w:val="20"/>
          <w:color w:val="auto"/>
        </w:rPr>
      </w:pPr>
      <w:r>
        <w:rPr>
          <w:rFonts w:ascii="Arial" w:cs="Arial" w:eastAsia="Arial" w:hAnsi="Arial"/>
          <w:sz w:val="18"/>
          <w:szCs w:val="18"/>
          <w:color w:val="auto"/>
        </w:rPr>
        <w:t>and will be chaired by</w:t>
      </w:r>
      <w:r>
        <w:rPr>
          <w:sz w:val="20"/>
          <w:szCs w:val="20"/>
          <w:color w:val="auto"/>
        </w:rPr>
        <w:tab/>
      </w:r>
      <w:r>
        <w:rPr>
          <w:rFonts w:ascii="Arial" w:cs="Arial" w:eastAsia="Arial" w:hAnsi="Arial"/>
          <w:sz w:val="18"/>
          <w:szCs w:val="18"/>
          <w:color w:val="auto"/>
        </w:rPr>
        <w:t>. The functions of the audit committee will include:</w:t>
      </w:r>
    </w:p>
    <w:p>
      <w:pPr>
        <w:spacing w:after="0" w:line="126" w:lineRule="exact"/>
        <w:rPr>
          <w:sz w:val="20"/>
          <w:szCs w:val="20"/>
          <w:color w:val="auto"/>
        </w:rPr>
      </w:pPr>
    </w:p>
    <w:p>
      <w:pPr>
        <w:ind w:left="340" w:hanging="224"/>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144" w:lineRule="exact"/>
        <w:rPr>
          <w:rFonts w:ascii="Arial" w:cs="Arial" w:eastAsia="Arial" w:hAnsi="Arial"/>
          <w:sz w:val="18"/>
          <w:szCs w:val="18"/>
          <w:color w:val="auto"/>
        </w:rPr>
      </w:pPr>
    </w:p>
    <w:p>
      <w:pPr>
        <w:ind w:left="340" w:right="760" w:hanging="224"/>
        <w:spacing w:after="0" w:line="271"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pre-approving auditing and permissible non-audit services, and the terms of such services, to be provided by our independent registered public accounting firm;</w:t>
      </w:r>
    </w:p>
    <w:p>
      <w:pPr>
        <w:spacing w:after="0" w:line="86" w:lineRule="exact"/>
        <w:rPr>
          <w:rFonts w:ascii="Arial" w:cs="Arial" w:eastAsia="Arial" w:hAnsi="Arial"/>
          <w:sz w:val="18"/>
          <w:szCs w:val="18"/>
          <w:color w:val="auto"/>
        </w:rPr>
      </w:pPr>
    </w:p>
    <w:p>
      <w:pPr>
        <w:ind w:left="340" w:right="240" w:hanging="224"/>
        <w:spacing w:after="0" w:line="271"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the overall audit plan with our independent registered public accounting firm and members of management responsible for preparing our financial statements;</w:t>
      </w:r>
    </w:p>
    <w:p>
      <w:pPr>
        <w:spacing w:after="0" w:line="86" w:lineRule="exact"/>
        <w:rPr>
          <w:rFonts w:ascii="Arial" w:cs="Arial" w:eastAsia="Arial" w:hAnsi="Arial"/>
          <w:sz w:val="18"/>
          <w:szCs w:val="18"/>
          <w:color w:val="auto"/>
        </w:rPr>
      </w:pPr>
    </w:p>
    <w:p>
      <w:pPr>
        <w:ind w:left="340" w:right="220" w:hanging="224"/>
        <w:spacing w:after="0" w:line="271"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our internal control over financial reporting;</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080"/>
          </w:cols>
          <w:pgMar w:left="320" w:top="455" w:right="4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right="400" w:hanging="224"/>
        <w:spacing w:after="0" w:line="271"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86" w:lineRule="exact"/>
        <w:rPr>
          <w:rFonts w:ascii="Arial" w:cs="Arial" w:eastAsia="Arial" w:hAnsi="Arial"/>
          <w:sz w:val="18"/>
          <w:szCs w:val="18"/>
          <w:color w:val="auto"/>
        </w:rPr>
      </w:pPr>
    </w:p>
    <w:p>
      <w:pPr>
        <w:ind w:left="340" w:right="440" w:hanging="224"/>
        <w:spacing w:after="0" w:line="271"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 as they relate to our financial statements and accounting matters;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quarterly earnings releases.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members of our audit committee will meet the requirements for financial literacy under the applicable rules and regulations of the SEC</w:t>
      </w:r>
    </w:p>
    <w:p>
      <w:pPr>
        <w:spacing w:after="0" w:line="14" w:lineRule="exact"/>
        <w:rPr>
          <w:sz w:val="20"/>
          <w:szCs w:val="20"/>
          <w:color w:val="auto"/>
        </w:rPr>
      </w:pPr>
    </w:p>
    <w:p>
      <w:pPr>
        <w:ind w:left="120" w:right="20"/>
        <w:spacing w:after="0" w:line="234" w:lineRule="auto"/>
        <w:rPr>
          <w:sz w:val="20"/>
          <w:szCs w:val="20"/>
          <w:color w:val="auto"/>
        </w:rPr>
      </w:pPr>
      <w:r>
        <w:rPr>
          <w:rFonts w:ascii="Arial" w:cs="Arial" w:eastAsia="Arial" w:hAnsi="Arial"/>
          <w:sz w:val="18"/>
          <w:szCs w:val="18"/>
          <w:color w:val="auto"/>
        </w:rPr>
        <w:t>and the Nasdaq listing rules. Our board of directors has determined that qualifies as an “audit committee financial expert” within the meaning of applicable SEC regulations. In making this determination, our board of directors considered the nature and scope of</w:t>
      </w:r>
    </w:p>
    <w:p>
      <w:pPr>
        <w:spacing w:after="0" w:line="1"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experience that has previously had with public reporting companies, including service as . Our board of directors has determined that all of the directors that will become members of our audit committee upon the effectiveness of the registration statement of which this prospectus forms a part satisfy the relevant independence requirements for service on the audit committee set forth in the rules of the SEC and the Nasdaq listing rules. Both our independent registered public accounting firm and management will periodically meet privately with our audit committee.</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Upon the effectiveness of the registration statement of which this prospectus forms a part, our compensation committee will consist of</w:t>
      </w:r>
    </w:p>
    <w:p>
      <w:pPr>
        <w:spacing w:after="0" w:line="14" w:lineRule="exact"/>
        <w:rPr>
          <w:sz w:val="20"/>
          <w:szCs w:val="20"/>
          <w:color w:val="auto"/>
        </w:rPr>
      </w:pPr>
    </w:p>
    <w:p>
      <w:pPr>
        <w:ind w:left="920"/>
        <w:spacing w:after="0"/>
        <w:tabs>
          <w:tab w:leader="none" w:pos="3520" w:val="left"/>
        </w:tabs>
        <w:rPr>
          <w:sz w:val="20"/>
          <w:szCs w:val="20"/>
          <w:color w:val="auto"/>
        </w:rPr>
      </w:pPr>
      <w:r>
        <w:rPr>
          <w:rFonts w:ascii="Arial" w:cs="Arial" w:eastAsia="Arial" w:hAnsi="Arial"/>
          <w:sz w:val="18"/>
          <w:szCs w:val="18"/>
          <w:color w:val="auto"/>
        </w:rPr>
        <w:t>, and will be chaired by</w:t>
      </w:r>
      <w:r>
        <w:rPr>
          <w:sz w:val="20"/>
          <w:szCs w:val="20"/>
          <w:color w:val="auto"/>
        </w:rPr>
        <w:tab/>
      </w:r>
      <w:r>
        <w:rPr>
          <w:rFonts w:ascii="Arial" w:cs="Arial" w:eastAsia="Arial" w:hAnsi="Arial"/>
          <w:sz w:val="17"/>
          <w:szCs w:val="17"/>
          <w:color w:val="auto"/>
        </w:rPr>
        <w:t>. The functions of the compensation committee will include:</w:t>
      </w:r>
    </w:p>
    <w:p>
      <w:pPr>
        <w:spacing w:after="0" w:line="126" w:lineRule="exact"/>
        <w:rPr>
          <w:sz w:val="20"/>
          <w:szCs w:val="20"/>
          <w:color w:val="auto"/>
        </w:rPr>
      </w:pPr>
    </w:p>
    <w:p>
      <w:pPr>
        <w:ind w:left="340" w:right="80" w:hanging="224"/>
        <w:spacing w:after="0" w:line="271"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annually reviewing and recommending to the board of directors the corporate goals and objectives relevant to the compensation of our Chief Executive Officer;</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in light of such corporate goals and objectives and based on such evaluation</w:t>
      </w:r>
    </w:p>
    <w:p>
      <w:pPr>
        <w:spacing w:after="0" w:line="13" w:lineRule="exact"/>
        <w:rPr>
          <w:rFonts w:ascii="Arial" w:cs="Arial" w:eastAsia="Arial" w:hAnsi="Arial"/>
          <w:sz w:val="18"/>
          <w:szCs w:val="18"/>
          <w:color w:val="auto"/>
        </w:rPr>
      </w:pPr>
    </w:p>
    <w:p>
      <w:pPr>
        <w:ind w:left="340" w:right="40"/>
        <w:spacing w:after="0" w:line="250" w:lineRule="auto"/>
        <w:rPr>
          <w:rFonts w:ascii="Arial" w:cs="Arial" w:eastAsia="Arial" w:hAnsi="Arial"/>
          <w:sz w:val="18"/>
          <w:szCs w:val="18"/>
          <w:color w:val="auto"/>
        </w:rPr>
      </w:pPr>
      <w:r>
        <w:rPr>
          <w:rFonts w:ascii="Arial" w:cs="Arial" w:eastAsia="Arial" w:hAnsi="Arial"/>
          <w:sz w:val="18"/>
          <w:szCs w:val="18"/>
          <w:color w:val="auto"/>
        </w:rPr>
        <w:t>(i) reviewing and determining the cash compensation of our Chief Executive Officer and (ii) reviewing and approving grants and awards to our Chief Executive Officer under equity-based plans;</w:t>
      </w:r>
    </w:p>
    <w:p>
      <w:pPr>
        <w:spacing w:after="0" w:line="104" w:lineRule="exact"/>
        <w:rPr>
          <w:rFonts w:ascii="Arial" w:cs="Arial" w:eastAsia="Arial" w:hAnsi="Arial"/>
          <w:sz w:val="18"/>
          <w:szCs w:val="18"/>
          <w:color w:val="auto"/>
        </w:rPr>
      </w:pPr>
    </w:p>
    <w:p>
      <w:pPr>
        <w:ind w:left="340" w:hanging="224"/>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approving the compensation of our other executive officers;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establishing our overall management compensation, philosophy and policy;</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144" w:lineRule="exact"/>
        <w:rPr>
          <w:rFonts w:ascii="Arial" w:cs="Arial" w:eastAsia="Arial" w:hAnsi="Arial"/>
          <w:sz w:val="18"/>
          <w:szCs w:val="18"/>
          <w:color w:val="auto"/>
        </w:rPr>
      </w:pPr>
    </w:p>
    <w:p>
      <w:pPr>
        <w:ind w:left="340" w:right="40" w:hanging="224"/>
        <w:spacing w:after="0" w:line="271"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evaluating and assessing potential and current compensation advisors in accordance with the independence standards identified in the applicable Nasdaq listing rules;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approving our policies and procedures for the grant of equity-based awards;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recommending to the board of directors the compensation of our directors;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preparing our compensation committee report if and when required by SEC rules;</w:t>
      </w:r>
    </w:p>
    <w:p>
      <w:pPr>
        <w:spacing w:after="0" w:line="144"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if and when required, to be included in our annual proxy statement; and</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00"/>
          </w:cols>
          <w:pgMar w:left="320" w:top="455" w:right="47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right="1140" w:hanging="224"/>
        <w:spacing w:after="0" w:line="271"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approving the retention or termination of any consulting firm or outside advisor to assist in the evaluation of compensation matters.</w:t>
      </w:r>
    </w:p>
    <w:p>
      <w:pPr>
        <w:spacing w:after="0" w:line="86" w:lineRule="exact"/>
        <w:rPr>
          <w:sz w:val="20"/>
          <w:szCs w:val="20"/>
          <w:color w:val="auto"/>
        </w:rPr>
      </w:pPr>
    </w:p>
    <w:p>
      <w:pPr>
        <w:ind w:left="120" w:right="40"/>
        <w:spacing w:after="0" w:line="301" w:lineRule="auto"/>
        <w:rPr>
          <w:sz w:val="20"/>
          <w:szCs w:val="20"/>
          <w:color w:val="auto"/>
        </w:rPr>
      </w:pPr>
      <w:r>
        <w:rPr>
          <w:rFonts w:ascii="Arial" w:cs="Arial" w:eastAsia="Arial" w:hAnsi="Arial"/>
          <w:sz w:val="17"/>
          <w:szCs w:val="17"/>
          <w:color w:val="auto"/>
        </w:rPr>
        <w:t>Each member of our compensation committee will be a non-employee director, as defined in Rule 16b-3 promulgated under the Exchange Act, and an outside director, as defined pursuant to Section 162(m) of the Internal Revenue Code of 1986, as amended (the “Code”).</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Upon the effectiveness of the registration statement of which this prospectus forms a part, our nominating and corporate governance</w:t>
      </w:r>
    </w:p>
    <w:p>
      <w:pPr>
        <w:spacing w:after="0" w:line="14"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color w:val="auto"/>
        </w:rPr>
        <w:t>committee will consist of and will be chaired by . The functions of the nominating and corporate governance committee will include:</w:t>
      </w:r>
    </w:p>
    <w:p>
      <w:pPr>
        <w:spacing w:after="0" w:line="324" w:lineRule="exact"/>
        <w:rPr>
          <w:sz w:val="20"/>
          <w:szCs w:val="20"/>
          <w:color w:val="auto"/>
        </w:rPr>
      </w:pPr>
    </w:p>
    <w:p>
      <w:pPr>
        <w:ind w:left="340" w:hanging="224"/>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criteria for board and committee membership;</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establishing procedures for identifying and evaluating board of director candidates, including nominees recommended by stockholders;</w:t>
      </w:r>
    </w:p>
    <w:p>
      <w:pPr>
        <w:spacing w:after="0" w:line="144" w:lineRule="exact"/>
        <w:rPr>
          <w:rFonts w:ascii="Arial" w:cs="Arial" w:eastAsia="Arial" w:hAnsi="Arial"/>
          <w:sz w:val="18"/>
          <w:szCs w:val="18"/>
          <w:color w:val="auto"/>
        </w:rPr>
      </w:pPr>
    </w:p>
    <w:p>
      <w:pPr>
        <w:ind w:left="340" w:right="500" w:hanging="224"/>
        <w:spacing w:after="0" w:line="271"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the composition of the board of directors to ensure that it is composed of members containing the appropriate skills and expertise to advise us;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recommending to the board of directors the persons to be nominated for election as directors and to each of the board’s committees;</w:t>
      </w:r>
    </w:p>
    <w:p>
      <w:pPr>
        <w:spacing w:after="0" w:line="144" w:lineRule="exact"/>
        <w:rPr>
          <w:rFonts w:ascii="Arial" w:cs="Arial" w:eastAsia="Arial" w:hAnsi="Arial"/>
          <w:sz w:val="18"/>
          <w:szCs w:val="18"/>
          <w:color w:val="auto"/>
        </w:rPr>
      </w:pPr>
    </w:p>
    <w:p>
      <w:pPr>
        <w:ind w:left="340" w:right="480" w:hanging="224"/>
        <w:spacing w:after="0" w:line="271"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code of business conduct and ethics and a set of corporate governance guidelines; and</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overseeing the evaluation of our board of directors and management.</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48"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None of the members of our compensation committee is, or has at any time during the prior three years been, one of our officers or employees. None of our executive officers currently serve, or have in the past fiscal year served, as a member of the board of directors or compensation committee of any entity that has one or more of its executive officers serving as a member of our board of directors or our compensation committee.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Code of Business Conduct and Ethics</w:t>
      </w:r>
    </w:p>
    <w:p>
      <w:pPr>
        <w:spacing w:after="0" w:line="148" w:lineRule="exact"/>
        <w:rPr>
          <w:sz w:val="20"/>
          <w:szCs w:val="20"/>
          <w:color w:val="auto"/>
        </w:rPr>
      </w:pPr>
    </w:p>
    <w:p>
      <w:pPr>
        <w:ind w:left="120" w:right="320"/>
        <w:spacing w:after="0" w:line="266" w:lineRule="auto"/>
        <w:rPr>
          <w:sz w:val="20"/>
          <w:szCs w:val="20"/>
          <w:color w:val="auto"/>
        </w:rPr>
      </w:pPr>
      <w:r>
        <w:rPr>
          <w:rFonts w:ascii="Arial" w:cs="Arial" w:eastAsia="Arial" w:hAnsi="Arial"/>
          <w:sz w:val="17"/>
          <w:szCs w:val="17"/>
          <w:color w:val="auto"/>
        </w:rPr>
        <w:t>Our board of directors intends to adopt, subject to and effective upon the effectiveness of the registration statement of which this prospectus forms a part, a Code of Business Conduct and Ethics in connection with this offering. The Code of Business Conduct and Ethics will apply to all of our employees, officers (including our principal executive officer, principal financial officer, principal accounting officer or controller, or persons performing similar functions), agents and representatives, including directors and consultants.</w:t>
      </w:r>
    </w:p>
    <w:p>
      <w:pPr>
        <w:spacing w:after="0" w:line="78"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We intend to disclose future amendments to certain provisions of our Code of Business Conduct and Ethics and our Code of Ethics on our website identified below. Upon the completion of this offering, the full text of our Code of Business Conduct and Ethics and our Code of Ethics will be posted on our website at https://www. Metagenomi.co. The inclusion of our website address in this prospectus does not include or incorporate by reference the information on our website into this prospectus, and you should not consider that information a part of this prospectus.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Limitations on Liability and Indemnification Agreements</w:t>
      </w:r>
    </w:p>
    <w:p>
      <w:pPr>
        <w:spacing w:after="0" w:line="148"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As permitted by Delaware law, provisions in our amended and restated certificate of incorporation and amended and restated bylaws, both of which will become effective upon the closing of this offering, limit or eliminate the personal liability of directors for a breach of their fiduciary duty of care as a director. The duty of care generally requires that, when acting on behalf of the corporation, a director exercise an informed business judgment based on all material information reasonably available to him or her. Consequently, a director will not be personally liable to us or our stockholders for monetary damages or breach of fiduciary duty as a director, except for liability for:</w:t>
      </w:r>
    </w:p>
    <w:p>
      <w:pPr>
        <w:spacing w:after="0" w:line="109" w:lineRule="exact"/>
        <w:rPr>
          <w:sz w:val="20"/>
          <w:szCs w:val="20"/>
          <w:color w:val="auto"/>
        </w:rPr>
      </w:pPr>
    </w:p>
    <w:p>
      <w:pPr>
        <w:ind w:left="340" w:hanging="224"/>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payments of dividends; or</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44"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These limitations of liability do not limit or eliminate our rights or any stockholder’s rights to seek non-monetary relief, such as injunctive relief or rescission. These provisions will not alter a director’s liability under other laws, such as the federal securities laws or other state or federal laws. Our amended and restated certificate of incorporation that will become effective upon the closing of this offering also authorizes us to indemnify our officers, directors and other agents to the fullest extent permitted under Delaware law.</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permitted by Delaware law, our amended and restated bylaws to be effective upon the consummation of this offering will provide that:</w:t>
      </w:r>
    </w:p>
    <w:p>
      <w:pPr>
        <w:spacing w:after="0" w:line="144" w:lineRule="exact"/>
        <w:rPr>
          <w:sz w:val="20"/>
          <w:szCs w:val="20"/>
          <w:color w:val="auto"/>
        </w:rPr>
      </w:pPr>
    </w:p>
    <w:p>
      <w:pPr>
        <w:ind w:left="340" w:hanging="224"/>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will indemnify our directors, officers, employees and other agents to the fullest extent permitted by law;</w:t>
      </w:r>
    </w:p>
    <w:p>
      <w:pPr>
        <w:spacing w:after="0" w:line="144"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must advance expenses to our directors and officers, and may advance expenses to our employees and other agents, in connection with a legal proceeding to the fullest extent permitted by law; and</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rights provided in our amended and restated bylaws are not exclusive.</w:t>
      </w:r>
    </w:p>
    <w:p>
      <w:pPr>
        <w:spacing w:after="0" w:line="144"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amended and restated bylaws will also permit us to secure insurance on behalf of any officer, director, employee or other agent for any liability arising out of his or her actions in connection with their services to us, regardless of whether our amended and restated bylaws permit such indemnification. We have obtained such insurance.</w:t>
      </w:r>
    </w:p>
    <w:p>
      <w:pPr>
        <w:spacing w:after="0" w:line="10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In addition to the indemnification that will be provided for in our amended and restated certificate of incorporation and amended and restated bylaws, we plan to enter into separate indemnification agreements with each of our directors and executive officers, which may be broader than the specific indemnification provisions contained in the Delaware General Corporation Law. These indemnification agreements may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This description of the indemnification provisions of our amended and restated certificate of incorporation, our amended and restated bylaws and our indemnification agreements is qualified in its entirety by reference to these documents, each of which is attached as an exhibit to the registration statement of which this prospectus forms a part.</w:t>
      </w:r>
    </w:p>
    <w:p>
      <w:pPr>
        <w:spacing w:after="0" w:line="10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01"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040"/>
          </w:cols>
          <w:pgMar w:left="320" w:top="455" w:right="5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EXECUTIVE COMPENSATION</w:t>
      </w:r>
    </w:p>
    <w:p>
      <w:pPr>
        <w:spacing w:after="0" w:line="168"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The following discussion contains forward looking statements that are based on our current plans, considerations, expectations and determinations regarding our future compensation programs. The actual amount and form of compensation and the compensation policies and practices that we adopt in the future may differ materially from currently planned programs as summarized in this discussion.</w:t>
      </w:r>
    </w:p>
    <w:p>
      <w:pPr>
        <w:spacing w:after="0" w:line="101"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as such term is defined in the rules promulgated under the Securities Act. The compensation provided to our named executive officers for the fiscal year ended December 31, 2022 is detailed in the 2022 Summary Compensation Table and accompanying footnotes and narrative that follow. Our named executive officers for the fiscal year ended December 31, 2022 are:</w:t>
      </w:r>
    </w:p>
    <w:p>
      <w:pPr>
        <w:spacing w:after="0" w:line="106" w:lineRule="exact"/>
        <w:rPr>
          <w:sz w:val="20"/>
          <w:szCs w:val="20"/>
          <w:color w:val="auto"/>
        </w:rPr>
      </w:pPr>
    </w:p>
    <w:p>
      <w:pPr>
        <w:ind w:left="340" w:hanging="224"/>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Brian C. Thomas, Ph.D., our Chief Executive Officer;</w:t>
      </w:r>
    </w:p>
    <w:p>
      <w:pPr>
        <w:spacing w:after="0" w:line="13" w:lineRule="exact"/>
        <w:rPr>
          <w:rFonts w:ascii="Arial" w:cs="Arial" w:eastAsia="Arial" w:hAnsi="Arial"/>
          <w:sz w:val="18"/>
          <w:szCs w:val="18"/>
          <w:color w:val="auto"/>
        </w:rPr>
      </w:pPr>
    </w:p>
    <w:p>
      <w:pPr>
        <w:ind w:left="340" w:hanging="224"/>
        <w:spacing w:after="0" w:line="234"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Jian Irish, Ph.D., MBA, our President and Chief Operating Officer; and</w:t>
      </w:r>
    </w:p>
    <w:p>
      <w:pPr>
        <w:ind w:left="340" w:hanging="224"/>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Simon Harnest, MSc, our Chief Investment Officer.</w:t>
      </w:r>
    </w:p>
    <w:p>
      <w:pPr>
        <w:spacing w:after="0" w:line="113"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To date, the compensation of our named executive officers has consisted of a combination of base salary, cash bonuses and equity awards in the form of profits interests, as described below. Our named executive officers, like all of our full-time employees, are eligible to participate in our health and welfare benefit plans. As we transition from a private company to a publicly traded company, we intend to evaluate our compensation values and philosophy and compensation plans and arrangements as circumstances require.</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2022 Summary Compensation Table</w:t>
      </w:r>
    </w:p>
    <w:p>
      <w:pPr>
        <w:spacing w:after="0" w:line="135"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color w:val="auto"/>
        </w:rPr>
        <w:t>The following table shows the total compensation earned by, or paid to, our named executive officers for services rendered to us in all capacities during the fiscal year ended December 31, 2022.</w:t>
      </w:r>
    </w:p>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35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Non-Equity</w:t>
            </w:r>
          </w:p>
        </w:tc>
        <w:tc>
          <w:tcPr>
            <w:tcW w:w="14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162"/>
        </w:trPr>
        <w:tc>
          <w:tcPr>
            <w:tcW w:w="3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jc w:val="right"/>
              <w:ind w:right="24"/>
              <w:spacing w:after="0"/>
              <w:rPr>
                <w:sz w:val="20"/>
                <w:szCs w:val="20"/>
                <w:color w:val="auto"/>
              </w:rPr>
            </w:pPr>
            <w:r>
              <w:rPr>
                <w:rFonts w:ascii="Arial" w:cs="Arial" w:eastAsia="Arial" w:hAnsi="Arial"/>
                <w:sz w:val="14"/>
                <w:szCs w:val="14"/>
                <w:b w:val="1"/>
                <w:bCs w:val="1"/>
                <w:color w:val="auto"/>
              </w:rPr>
              <w:t>Stock</w:t>
            </w:r>
          </w:p>
        </w:tc>
        <w:tc>
          <w:tcPr>
            <w:tcW w:w="1420" w:type="dxa"/>
            <w:vAlign w:val="bottom"/>
          </w:tcPr>
          <w:p>
            <w:pPr>
              <w:jc w:val="right"/>
              <w:ind w:right="84"/>
              <w:spacing w:after="0"/>
              <w:rPr>
                <w:sz w:val="20"/>
                <w:szCs w:val="20"/>
                <w:color w:val="auto"/>
              </w:rPr>
            </w:pPr>
            <w:r>
              <w:rPr>
                <w:rFonts w:ascii="Arial" w:cs="Arial" w:eastAsia="Arial" w:hAnsi="Arial"/>
                <w:sz w:val="14"/>
                <w:szCs w:val="14"/>
                <w:b w:val="1"/>
                <w:bCs w:val="1"/>
                <w:color w:val="auto"/>
              </w:rPr>
              <w:t>Incentive Plan</w:t>
            </w:r>
          </w:p>
        </w:tc>
        <w:tc>
          <w:tcPr>
            <w:tcW w:w="1440" w:type="dxa"/>
            <w:vAlign w:val="bottom"/>
          </w:tcPr>
          <w:p>
            <w:pPr>
              <w:jc w:val="right"/>
              <w:ind w:right="24"/>
              <w:spacing w:after="0"/>
              <w:rPr>
                <w:sz w:val="20"/>
                <w:szCs w:val="20"/>
                <w:color w:val="auto"/>
              </w:rPr>
            </w:pPr>
            <w:r>
              <w:rPr>
                <w:rFonts w:ascii="Arial" w:cs="Arial" w:eastAsia="Arial" w:hAnsi="Arial"/>
                <w:sz w:val="14"/>
                <w:szCs w:val="14"/>
                <w:b w:val="1"/>
                <w:bCs w:val="1"/>
                <w:color w:val="auto"/>
              </w:rPr>
              <w:t>All Other</w:t>
            </w:r>
          </w:p>
        </w:tc>
        <w:tc>
          <w:tcPr>
            <w:tcW w:w="900" w:type="dxa"/>
            <w:vAlign w:val="bottom"/>
          </w:tcPr>
          <w:p>
            <w:pPr>
              <w:spacing w:after="0"/>
              <w:rPr>
                <w:sz w:val="14"/>
                <w:szCs w:val="14"/>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b w:val="1"/>
                <w:bCs w:val="1"/>
                <w:color w:val="auto"/>
              </w:rPr>
              <w:t>Name and Principal</w:t>
            </w:r>
          </w:p>
        </w:tc>
        <w:tc>
          <w:tcPr>
            <w:tcW w:w="1180" w:type="dxa"/>
            <w:vAlign w:val="bottom"/>
          </w:tcPr>
          <w:p>
            <w:pPr>
              <w:spacing w:after="0"/>
              <w:rPr>
                <w:sz w:val="14"/>
                <w:szCs w:val="14"/>
                <w:color w:val="auto"/>
              </w:rPr>
            </w:pPr>
          </w:p>
        </w:tc>
        <w:tc>
          <w:tcPr>
            <w:tcW w:w="800" w:type="dxa"/>
            <w:vAlign w:val="bottom"/>
          </w:tcPr>
          <w:p>
            <w:pPr>
              <w:jc w:val="right"/>
              <w:ind w:right="23"/>
              <w:spacing w:after="0"/>
              <w:rPr>
                <w:sz w:val="20"/>
                <w:szCs w:val="20"/>
                <w:color w:val="auto"/>
              </w:rPr>
            </w:pPr>
            <w:r>
              <w:rPr>
                <w:rFonts w:ascii="Arial" w:cs="Arial" w:eastAsia="Arial" w:hAnsi="Arial"/>
                <w:sz w:val="14"/>
                <w:szCs w:val="14"/>
                <w:b w:val="1"/>
                <w:bCs w:val="1"/>
                <w:color w:val="auto"/>
              </w:rPr>
              <w:t>Salary</w:t>
            </w:r>
          </w:p>
        </w:tc>
        <w:tc>
          <w:tcPr>
            <w:tcW w:w="800" w:type="dxa"/>
            <w:vAlign w:val="bottom"/>
          </w:tcPr>
          <w:p>
            <w:pPr>
              <w:jc w:val="right"/>
              <w:ind w:right="4"/>
              <w:spacing w:after="0"/>
              <w:rPr>
                <w:sz w:val="20"/>
                <w:szCs w:val="20"/>
                <w:color w:val="auto"/>
              </w:rPr>
            </w:pPr>
            <w:r>
              <w:rPr>
                <w:rFonts w:ascii="Arial" w:cs="Arial" w:eastAsia="Arial" w:hAnsi="Arial"/>
                <w:sz w:val="14"/>
                <w:szCs w:val="14"/>
                <w:b w:val="1"/>
                <w:bCs w:val="1"/>
                <w:color w:val="auto"/>
              </w:rPr>
              <w:t>Bonus(1)</w:t>
            </w:r>
          </w:p>
        </w:tc>
        <w:tc>
          <w:tcPr>
            <w:tcW w:w="900" w:type="dxa"/>
            <w:vAlign w:val="bottom"/>
          </w:tcPr>
          <w:p>
            <w:pPr>
              <w:jc w:val="right"/>
              <w:ind w:right="24"/>
              <w:spacing w:after="0"/>
              <w:rPr>
                <w:sz w:val="20"/>
                <w:szCs w:val="20"/>
                <w:color w:val="auto"/>
              </w:rPr>
            </w:pPr>
            <w:r>
              <w:rPr>
                <w:rFonts w:ascii="Arial" w:cs="Arial" w:eastAsia="Arial" w:hAnsi="Arial"/>
                <w:sz w:val="14"/>
                <w:szCs w:val="14"/>
                <w:b w:val="1"/>
                <w:bCs w:val="1"/>
                <w:color w:val="auto"/>
              </w:rPr>
              <w:t>Awards(2)</w:t>
            </w:r>
          </w:p>
        </w:tc>
        <w:tc>
          <w:tcPr>
            <w:tcW w:w="1420" w:type="dxa"/>
            <w:vAlign w:val="bottom"/>
          </w:tcPr>
          <w:p>
            <w:pPr>
              <w:jc w:val="right"/>
              <w:ind w:right="84"/>
              <w:spacing w:after="0"/>
              <w:rPr>
                <w:sz w:val="20"/>
                <w:szCs w:val="20"/>
                <w:color w:val="auto"/>
              </w:rPr>
            </w:pPr>
            <w:r>
              <w:rPr>
                <w:rFonts w:ascii="Arial" w:cs="Arial" w:eastAsia="Arial" w:hAnsi="Arial"/>
                <w:sz w:val="14"/>
                <w:szCs w:val="14"/>
                <w:b w:val="1"/>
                <w:bCs w:val="1"/>
                <w:color w:val="auto"/>
              </w:rPr>
              <w:t>Compensation(3)</w:t>
            </w:r>
          </w:p>
        </w:tc>
        <w:tc>
          <w:tcPr>
            <w:tcW w:w="1440" w:type="dxa"/>
            <w:vAlign w:val="bottom"/>
          </w:tcPr>
          <w:p>
            <w:pPr>
              <w:jc w:val="right"/>
              <w:ind w:right="24"/>
              <w:spacing w:after="0"/>
              <w:rPr>
                <w:sz w:val="20"/>
                <w:szCs w:val="20"/>
                <w:color w:val="auto"/>
              </w:rPr>
            </w:pPr>
            <w:r>
              <w:rPr>
                <w:rFonts w:ascii="Arial" w:cs="Arial" w:eastAsia="Arial" w:hAnsi="Arial"/>
                <w:sz w:val="14"/>
                <w:szCs w:val="14"/>
                <w:b w:val="1"/>
                <w:bCs w:val="1"/>
                <w:color w:val="auto"/>
              </w:rPr>
              <w:t>Compensation(4)</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85"/>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Year</w:t>
            </w: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96"/>
        </w:trPr>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Brian C. Thomas, Ph.D.</w:t>
            </w:r>
          </w:p>
        </w:tc>
        <w:tc>
          <w:tcPr>
            <w:tcW w:w="1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2022</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500,000</w:t>
            </w: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100,000</w:t>
            </w: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1,223,129</w:t>
            </w:r>
          </w:p>
        </w:tc>
        <w:tc>
          <w:tcPr>
            <w:tcW w:w="1420" w:type="dxa"/>
            <w:vAlign w:val="bottom"/>
          </w:tcPr>
          <w:p>
            <w:pPr>
              <w:jc w:val="right"/>
              <w:ind w:right="84"/>
              <w:spacing w:after="0"/>
              <w:rPr>
                <w:sz w:val="20"/>
                <w:szCs w:val="20"/>
                <w:color w:val="auto"/>
              </w:rPr>
            </w:pPr>
            <w:r>
              <w:rPr>
                <w:rFonts w:ascii="Arial" w:cs="Arial" w:eastAsia="Arial" w:hAnsi="Arial"/>
                <w:sz w:val="16"/>
                <w:szCs w:val="16"/>
                <w:color w:val="auto"/>
              </w:rPr>
              <w:t>318,250</w:t>
            </w:r>
          </w:p>
        </w:tc>
        <w:tc>
          <w:tcPr>
            <w:tcW w:w="1440" w:type="dxa"/>
            <w:vAlign w:val="bottom"/>
          </w:tcPr>
          <w:p>
            <w:pPr>
              <w:jc w:val="right"/>
              <w:ind w:right="24"/>
              <w:spacing w:after="0"/>
              <w:rPr>
                <w:sz w:val="20"/>
                <w:szCs w:val="20"/>
                <w:color w:val="auto"/>
              </w:rPr>
            </w:pPr>
            <w:r>
              <w:rPr>
                <w:rFonts w:ascii="Arial" w:cs="Arial" w:eastAsia="Arial" w:hAnsi="Arial"/>
                <w:sz w:val="16"/>
                <w:szCs w:val="16"/>
                <w:color w:val="auto"/>
              </w:rPr>
              <w:t>15,250</w:t>
            </w:r>
          </w:p>
        </w:tc>
        <w:tc>
          <w:tcPr>
            <w:tcW w:w="900" w:type="dxa"/>
            <w:vAlign w:val="bottom"/>
          </w:tcPr>
          <w:p>
            <w:pPr>
              <w:jc w:val="right"/>
              <w:spacing w:after="0"/>
              <w:rPr>
                <w:sz w:val="20"/>
                <w:szCs w:val="20"/>
                <w:color w:val="auto"/>
              </w:rPr>
            </w:pPr>
            <w:r>
              <w:rPr>
                <w:rFonts w:ascii="Arial" w:cs="Arial" w:eastAsia="Arial" w:hAnsi="Arial"/>
                <w:sz w:val="16"/>
                <w:szCs w:val="16"/>
                <w:color w:val="auto"/>
              </w:rPr>
              <w:t>2,156,629</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Jian Irish, Ph.D., MBA</w:t>
            </w:r>
          </w:p>
        </w:tc>
        <w:tc>
          <w:tcPr>
            <w:tcW w:w="1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3580" w:type="dxa"/>
            <w:vAlign w:val="bottom"/>
          </w:tcPr>
          <w:p>
            <w:pPr>
              <w:ind w:left="160"/>
              <w:spacing w:after="0"/>
              <w:rPr>
                <w:sz w:val="20"/>
                <w:szCs w:val="20"/>
                <w:color w:val="auto"/>
              </w:rPr>
            </w:pPr>
            <w:r>
              <w:rPr>
                <w:rFonts w:ascii="Arial" w:cs="Arial" w:eastAsia="Arial" w:hAnsi="Arial"/>
                <w:sz w:val="16"/>
                <w:szCs w:val="16"/>
                <w:i w:val="1"/>
                <w:iCs w:val="1"/>
                <w:color w:val="auto"/>
              </w:rPr>
              <w:t>President and Chief Operating Officer</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2022</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450,000</w:t>
            </w: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52,000</w:t>
            </w: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313,084</w:t>
            </w:r>
          </w:p>
        </w:tc>
        <w:tc>
          <w:tcPr>
            <w:tcW w:w="1420" w:type="dxa"/>
            <w:vAlign w:val="bottom"/>
          </w:tcPr>
          <w:p>
            <w:pPr>
              <w:jc w:val="right"/>
              <w:ind w:right="84"/>
              <w:spacing w:after="0"/>
              <w:rPr>
                <w:sz w:val="20"/>
                <w:szCs w:val="20"/>
                <w:color w:val="auto"/>
              </w:rPr>
            </w:pPr>
            <w:r>
              <w:rPr>
                <w:rFonts w:ascii="Arial" w:cs="Arial" w:eastAsia="Arial" w:hAnsi="Arial"/>
                <w:sz w:val="16"/>
                <w:szCs w:val="16"/>
                <w:color w:val="auto"/>
              </w:rPr>
              <w:t>260,354</w:t>
            </w:r>
          </w:p>
        </w:tc>
        <w:tc>
          <w:tcPr>
            <w:tcW w:w="1440" w:type="dxa"/>
            <w:vAlign w:val="bottom"/>
          </w:tcPr>
          <w:p>
            <w:pPr>
              <w:jc w:val="right"/>
              <w:ind w:right="24"/>
              <w:spacing w:after="0"/>
              <w:rPr>
                <w:sz w:val="20"/>
                <w:szCs w:val="20"/>
                <w:color w:val="auto"/>
              </w:rPr>
            </w:pPr>
            <w:r>
              <w:rPr>
                <w:rFonts w:ascii="Arial" w:cs="Arial" w:eastAsia="Arial" w:hAnsi="Arial"/>
                <w:sz w:val="16"/>
                <w:szCs w:val="16"/>
                <w:color w:val="auto"/>
              </w:rPr>
              <w:t>8,990</w:t>
            </w:r>
          </w:p>
        </w:tc>
        <w:tc>
          <w:tcPr>
            <w:tcW w:w="900" w:type="dxa"/>
            <w:vAlign w:val="bottom"/>
          </w:tcPr>
          <w:p>
            <w:pPr>
              <w:jc w:val="right"/>
              <w:spacing w:after="0"/>
              <w:rPr>
                <w:sz w:val="20"/>
                <w:szCs w:val="20"/>
                <w:color w:val="auto"/>
              </w:rPr>
            </w:pPr>
            <w:r>
              <w:rPr>
                <w:rFonts w:ascii="Arial" w:cs="Arial" w:eastAsia="Arial" w:hAnsi="Arial"/>
                <w:sz w:val="16"/>
                <w:szCs w:val="16"/>
                <w:color w:val="auto"/>
              </w:rPr>
              <w:t>1,084,428</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Simon Harnest, MSc</w:t>
            </w:r>
          </w:p>
        </w:tc>
        <w:tc>
          <w:tcPr>
            <w:tcW w:w="1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5"/>
        </w:trPr>
        <w:tc>
          <w:tcPr>
            <w:tcW w:w="3580" w:type="dxa"/>
            <w:vAlign w:val="bottom"/>
          </w:tcPr>
          <w:p>
            <w:pPr>
              <w:ind w:left="160"/>
              <w:spacing w:after="0"/>
              <w:rPr>
                <w:sz w:val="20"/>
                <w:szCs w:val="20"/>
                <w:color w:val="auto"/>
              </w:rPr>
            </w:pPr>
            <w:r>
              <w:rPr>
                <w:rFonts w:ascii="Arial" w:cs="Arial" w:eastAsia="Arial" w:hAnsi="Arial"/>
                <w:sz w:val="16"/>
                <w:szCs w:val="16"/>
                <w:i w:val="1"/>
                <w:iCs w:val="1"/>
                <w:color w:val="auto"/>
              </w:rPr>
              <w:t>Chief Investment Officer</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2022</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340,500</w:t>
            </w:r>
          </w:p>
        </w:tc>
        <w:tc>
          <w:tcPr>
            <w:tcW w:w="800" w:type="dxa"/>
            <w:vAlign w:val="bottom"/>
          </w:tcPr>
          <w:p>
            <w:pPr>
              <w:spacing w:after="0"/>
              <w:rPr>
                <w:sz w:val="18"/>
                <w:szCs w:val="18"/>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113,054</w:t>
            </w:r>
          </w:p>
        </w:tc>
        <w:tc>
          <w:tcPr>
            <w:tcW w:w="1420" w:type="dxa"/>
            <w:vAlign w:val="bottom"/>
          </w:tcPr>
          <w:p>
            <w:pPr>
              <w:jc w:val="right"/>
              <w:ind w:right="84"/>
              <w:spacing w:after="0"/>
              <w:rPr>
                <w:sz w:val="20"/>
                <w:szCs w:val="20"/>
                <w:color w:val="auto"/>
              </w:rPr>
            </w:pPr>
            <w:r>
              <w:rPr>
                <w:rFonts w:ascii="Arial" w:cs="Arial" w:eastAsia="Arial" w:hAnsi="Arial"/>
                <w:sz w:val="16"/>
                <w:szCs w:val="16"/>
                <w:color w:val="auto"/>
              </w:rPr>
              <w:t>153,007</w:t>
            </w:r>
          </w:p>
        </w:tc>
        <w:tc>
          <w:tcPr>
            <w:tcW w:w="14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606,561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69608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12" w:lineRule="exact"/>
        <w:rPr>
          <w:sz w:val="20"/>
          <w:szCs w:val="20"/>
          <w:color w:val="auto"/>
        </w:rPr>
      </w:pPr>
    </w:p>
    <w:p>
      <w:pPr>
        <w:ind w:left="440" w:hanging="324"/>
        <w:spacing w:after="0"/>
        <w:tabs>
          <w:tab w:leader="none" w:pos="4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amounts reported in this column reflect one time special bonuses paid to Mr. Thomas and Ms. Irish for performance during fiscal year ended December 31, 2022.</w:t>
      </w:r>
    </w:p>
    <w:p>
      <w:pPr>
        <w:spacing w:after="0" w:line="24" w:lineRule="exact"/>
        <w:rPr>
          <w:rFonts w:ascii="Arial" w:cs="Arial" w:eastAsia="Arial" w:hAnsi="Arial"/>
          <w:sz w:val="13"/>
          <w:szCs w:val="13"/>
          <w:color w:val="auto"/>
        </w:rPr>
      </w:pPr>
    </w:p>
    <w:p>
      <w:pPr>
        <w:ind w:left="440" w:right="100" w:hanging="324"/>
        <w:spacing w:after="0" w:line="244" w:lineRule="auto"/>
        <w:tabs>
          <w:tab w:leader="none" w:pos="4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amounts reported in this column represent the aggregate grant date fair value of profits interests granted to the named executive officers during 2022, as calculated in accordance with Financial Accounting Standards Board (“FASB”), Accounting Standards Codification (“ASC”), Topic 718. Such grant date value does not take into account any estimated forfeitures related to service-based vesting conditions. The assumptions used in the grant date fair value of the awards in this column are described in Note 13 – Profits Interests Plan to our consolidated financial statements included elsewhere in this prospectus. These awards are described in more detail under “Narrative Disclosure to Summary Compensation Table – Equity-Based Compensation” below.</w:t>
      </w:r>
    </w:p>
    <w:p>
      <w:pPr>
        <w:spacing w:after="0" w:line="51" w:lineRule="exact"/>
        <w:rPr>
          <w:rFonts w:ascii="Arial" w:cs="Arial" w:eastAsia="Arial" w:hAnsi="Arial"/>
          <w:sz w:val="13"/>
          <w:szCs w:val="13"/>
          <w:color w:val="auto"/>
        </w:rPr>
      </w:pPr>
    </w:p>
    <w:p>
      <w:pPr>
        <w:ind w:left="440" w:right="220" w:hanging="324"/>
        <w:spacing w:after="0" w:line="259" w:lineRule="auto"/>
        <w:tabs>
          <w:tab w:leader="none" w:pos="4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amounts reported represent annual bonuses under our annual cash bonus program based on achievement of company performance and individual performance during the year ended December 31, 2022. For more information on these bonuses, see description of the annual performance bonuses under the section titled “Narrative Disclosure to Summary Compensation Table – Annual Cash Bonuses” below.</w:t>
      </w:r>
    </w:p>
    <w:p>
      <w:pPr>
        <w:spacing w:after="0" w:line="42" w:lineRule="exact"/>
        <w:rPr>
          <w:rFonts w:ascii="Arial" w:cs="Arial" w:eastAsia="Arial" w:hAnsi="Arial"/>
          <w:sz w:val="13"/>
          <w:szCs w:val="13"/>
          <w:color w:val="auto"/>
        </w:rPr>
      </w:pPr>
    </w:p>
    <w:p>
      <w:pPr>
        <w:ind w:left="440" w:hanging="324"/>
        <w:spacing w:after="0"/>
        <w:tabs>
          <w:tab w:leader="none" w:pos="4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amounts reported reflect an employer matching contribution on the employee’s behalf under our 401(k) plan.</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40"/>
          </w:cols>
          <w:pgMar w:left="320" w:top="455" w:right="4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Narrative Disclosure to Summary Compensation Table</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 Base Salaries</w:t>
      </w:r>
    </w:p>
    <w:p>
      <w:pPr>
        <w:spacing w:after="0" w:line="142" w:lineRule="exact"/>
        <w:rPr>
          <w:sz w:val="20"/>
          <w:szCs w:val="20"/>
          <w:color w:val="auto"/>
        </w:rPr>
      </w:pPr>
    </w:p>
    <w:p>
      <w:pPr>
        <w:ind w:left="120" w:right="220"/>
        <w:spacing w:after="0" w:line="259" w:lineRule="auto"/>
        <w:rPr>
          <w:sz w:val="20"/>
          <w:szCs w:val="20"/>
          <w:color w:val="auto"/>
        </w:rPr>
      </w:pPr>
      <w:r>
        <w:rPr>
          <w:rFonts w:ascii="Arial" w:cs="Arial" w:eastAsia="Arial" w:hAnsi="Arial"/>
          <w:sz w:val="17"/>
          <w:szCs w:val="17"/>
          <w:color w:val="auto"/>
        </w:rPr>
        <w:t>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 Base salaries may be adjusted from time to time to realign salaries with market levels after taking into account individual responsibilities, performance and experience. Mr. Harnest’s base salary was adjusted effective as of March 31, 2022 from $335,000 to $ 341,600. The base salaries for Dr. Thomas and Dr. Irish were not adjusted during the calendar year 2022. As of December 31, 2022, the base salaries for Dr. Thomas, Dr. Irish and Mr. Harnest were $500,000, $450,000 and $341,600, respectively.</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 Cash Bonuses</w:t>
      </w:r>
    </w:p>
    <w:p>
      <w:pPr>
        <w:spacing w:after="0" w:line="142"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For the fiscal year ended December 31, 2022, each of the named executive officers was eligible to earn an annual cash bonus determined by our board of directors in its sole discretion, based on achievement of certain individual and corporate performance goals, relating primarily to research and development goals, clinical milestones, business development and organizational goals. The target annual bonus for each of our named executive officers for the fiscal year ended December 31, 2022 was equal to the percentage of the executive’s respective annual base salary specified below:</w:t>
      </w:r>
    </w:p>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5640" w:type="dxa"/>
            <w:vAlign w:val="bottom"/>
            <w:tcBorders>
              <w:top w:val="single" w:sz="8" w:color="auto"/>
            </w:tcBorders>
          </w:tcPr>
          <w:p>
            <w:pPr>
              <w:spacing w:after="0"/>
              <w:rPr>
                <w:sz w:val="17"/>
                <w:szCs w:val="17"/>
                <w:color w:val="auto"/>
              </w:rPr>
            </w:pPr>
          </w:p>
        </w:tc>
        <w:tc>
          <w:tcPr>
            <w:tcW w:w="5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Target Bonus</w:t>
            </w:r>
          </w:p>
        </w:tc>
      </w:tr>
      <w:tr>
        <w:trPr>
          <w:trHeight w:val="203"/>
        </w:trPr>
        <w:tc>
          <w:tcPr>
            <w:tcW w:w="5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5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Percentage</w:t>
            </w: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Brian C. Thomas</w:t>
            </w:r>
          </w:p>
        </w:tc>
        <w:tc>
          <w:tcPr>
            <w:tcW w:w="5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Jian Irish</w:t>
            </w:r>
          </w:p>
        </w:tc>
        <w:tc>
          <w:tcPr>
            <w:tcW w:w="538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Simon Harnest</w:t>
            </w:r>
          </w:p>
        </w:tc>
        <w:tc>
          <w:tcPr>
            <w:tcW w:w="5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12"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With respect to the fiscal year ended December 31, 2022, our compensation committee approved a payout of cash bonuses in an amount of 127% of target for Mr. Thomas, 129% for Ms. Irish and 128% for Mr. Harnest.</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29"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Although we do not yet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unitholders. We have granted our named executive officers profits interests under our 2019 Equity Incentive Plan (the “2019 Plan”). These profits interests are subject to time-based vesting conditions and are intended to be treated as “profits interests” for U.S. federal income tax purposes.</w:t>
      </w:r>
    </w:p>
    <w:p>
      <w:pPr>
        <w:spacing w:after="0" w:line="109"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color w:val="auto"/>
        </w:rPr>
        <w:t>In connection with the Reorganization, profits interests will be exchanged for shares of common stock and restricted common stock of Metagenomi, Inc.</w:t>
      </w:r>
    </w:p>
    <w:p>
      <w:pPr>
        <w:spacing w:after="0" w:line="86"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color w:val="auto"/>
        </w:rPr>
        <w:t>For additional information regarding outstanding equity awards held by our named executive officers as of December 31, 2022, see the “</w:t>
      </w:r>
      <w:r>
        <w:rPr>
          <w:rFonts w:ascii="Arial" w:cs="Arial" w:eastAsia="Arial" w:hAnsi="Arial"/>
          <w:sz w:val="18"/>
          <w:szCs w:val="18"/>
          <w:i w:val="1"/>
          <w:iCs w:val="1"/>
          <w:color w:val="auto"/>
        </w:rPr>
        <w:t>Outstanding Equity Awards at 2022 Fiscal Year End</w:t>
      </w:r>
      <w:r>
        <w:rPr>
          <w:rFonts w:ascii="Arial" w:cs="Arial" w:eastAsia="Arial" w:hAnsi="Arial"/>
          <w:sz w:val="18"/>
          <w:szCs w:val="18"/>
          <w:color w:val="auto"/>
        </w:rPr>
        <w:t>” table below.</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Perquisites/Personal Benefits</w:t>
      </w:r>
    </w:p>
    <w:p>
      <w:pPr>
        <w:spacing w:after="0" w:line="142"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color w:val="auto"/>
        </w:rPr>
        <w:t>Perquisites or other personal benefits are not a significant component of our executive compensation program. Accordingly, we do not provide significant perquisites or other personal benefits to our executive officers, including our named executive officers.</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40"/>
          </w:cols>
          <w:pgMar w:left="320" w:top="455" w:right="4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maintain a retirement savings plan (“401(k) plan”) that is intended to qualify for favorable tax treatment under Section 401(a) of the Code, and contains a cash or deferred feature that is intended to meet the requirements of Section 401(k) of the Code. U.S. employees are generally eligible to participate in the 401(k) plan, subject to certain criteria.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We provide employer matching contributions of 100% on the first 5% of participant’s compensation contributed to our 401(k) plan.</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Outstanding Equity Awards at 2022 Fiscal Year End</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lists all outstanding equity awards held by our named executive officers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2"/>
          </w:tcPr>
          <w:p>
            <w:pPr>
              <w:jc w:val="right"/>
              <w:ind w:right="968"/>
              <w:spacing w:after="0"/>
              <w:rPr>
                <w:sz w:val="20"/>
                <w:szCs w:val="20"/>
                <w:color w:val="auto"/>
              </w:rPr>
            </w:pPr>
            <w:r>
              <w:rPr>
                <w:rFonts w:ascii="Arial" w:cs="Arial" w:eastAsia="Arial" w:hAnsi="Arial"/>
                <w:sz w:val="14"/>
                <w:szCs w:val="14"/>
                <w:b w:val="1"/>
                <w:bCs w:val="1"/>
                <w:color w:val="auto"/>
              </w:rPr>
              <w:t>Stock Awards(1)</w:t>
            </w:r>
          </w:p>
        </w:tc>
        <w:tc>
          <w:tcPr>
            <w:tcW w:w="1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8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auto"/>
              </w:rPr>
              <w:t>Equity Incentive</w:t>
            </w:r>
          </w:p>
        </w:tc>
        <w:tc>
          <w:tcPr>
            <w:tcW w:w="142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Equity Incentive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Arial" w:cs="Arial" w:eastAsia="Arial" w:hAnsi="Arial"/>
                <w:sz w:val="14"/>
                <w:szCs w:val="14"/>
                <w:b w:val="1"/>
                <w:bCs w:val="1"/>
                <w:color w:val="auto"/>
              </w:rPr>
              <w:t>Plan awards:</w:t>
            </w:r>
          </w:p>
        </w:tc>
        <w:tc>
          <w:tcPr>
            <w:tcW w:w="1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Market Value of</w:t>
            </w:r>
          </w:p>
        </w:tc>
        <w:tc>
          <w:tcPr>
            <w:tcW w:w="1680" w:type="dxa"/>
            <w:vAlign w:val="bottom"/>
          </w:tcPr>
          <w:p>
            <w:pPr>
              <w:jc w:val="right"/>
              <w:ind w:right="108"/>
              <w:spacing w:after="0"/>
              <w:rPr>
                <w:sz w:val="20"/>
                <w:szCs w:val="20"/>
                <w:color w:val="auto"/>
              </w:rPr>
            </w:pPr>
            <w:r>
              <w:rPr>
                <w:rFonts w:ascii="Arial" w:cs="Arial" w:eastAsia="Arial" w:hAnsi="Arial"/>
                <w:sz w:val="14"/>
                <w:szCs w:val="14"/>
                <w:b w:val="1"/>
                <w:bCs w:val="1"/>
                <w:color w:val="auto"/>
              </w:rPr>
              <w:t>Number of</w:t>
            </w:r>
          </w:p>
        </w:tc>
        <w:tc>
          <w:tcPr>
            <w:tcW w:w="1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6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rPr>
              <w:t>Number of Shares</w:t>
            </w:r>
          </w:p>
        </w:tc>
        <w:tc>
          <w:tcPr>
            <w:tcW w:w="1600" w:type="dxa"/>
            <w:vAlign w:val="bottom"/>
            <w:vMerge w:val="continue"/>
          </w:tcPr>
          <w:p>
            <w:pPr>
              <w:spacing w:after="0"/>
              <w:rPr>
                <w:sz w:val="12"/>
                <w:szCs w:val="12"/>
                <w:color w:val="auto"/>
              </w:rPr>
            </w:pPr>
          </w:p>
        </w:tc>
        <w:tc>
          <w:tcPr>
            <w:tcW w:w="168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Unearned Shares,</w:t>
            </w:r>
          </w:p>
        </w:tc>
        <w:tc>
          <w:tcPr>
            <w:tcW w:w="14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Unearned Shares,</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tcPr>
          <w:p>
            <w:pPr>
              <w:jc w:val="right"/>
              <w:ind w:right="282"/>
              <w:spacing w:after="0"/>
              <w:rPr>
                <w:sz w:val="20"/>
                <w:szCs w:val="20"/>
                <w:color w:val="auto"/>
              </w:rPr>
            </w:pPr>
            <w:r>
              <w:rPr>
                <w:rFonts w:ascii="Arial" w:cs="Arial" w:eastAsia="Arial" w:hAnsi="Arial"/>
                <w:sz w:val="14"/>
                <w:szCs w:val="14"/>
                <w:b w:val="1"/>
                <w:bCs w:val="1"/>
                <w:color w:val="auto"/>
              </w:rPr>
              <w:t>Vesting</w:t>
            </w:r>
          </w:p>
        </w:tc>
        <w:tc>
          <w:tcPr>
            <w:tcW w:w="1360" w:type="dxa"/>
            <w:vAlign w:val="bottom"/>
          </w:tcPr>
          <w:p>
            <w:pPr>
              <w:jc w:val="right"/>
              <w:ind w:right="22"/>
              <w:spacing w:after="0"/>
              <w:rPr>
                <w:sz w:val="20"/>
                <w:szCs w:val="20"/>
                <w:color w:val="auto"/>
              </w:rPr>
            </w:pPr>
            <w:r>
              <w:rPr>
                <w:rFonts w:ascii="Arial" w:cs="Arial" w:eastAsia="Arial" w:hAnsi="Arial"/>
                <w:sz w:val="14"/>
                <w:szCs w:val="14"/>
                <w:b w:val="1"/>
                <w:bCs w:val="1"/>
                <w:color w:val="auto"/>
              </w:rPr>
              <w:t>or Units of Stock</w:t>
            </w: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Shares or Units of</w:t>
            </w:r>
          </w:p>
        </w:tc>
        <w:tc>
          <w:tcPr>
            <w:tcW w:w="1680" w:type="dxa"/>
            <w:vAlign w:val="bottom"/>
          </w:tcPr>
          <w:p>
            <w:pPr>
              <w:jc w:val="right"/>
              <w:ind w:right="108"/>
              <w:spacing w:after="0"/>
              <w:rPr>
                <w:sz w:val="20"/>
                <w:szCs w:val="20"/>
                <w:color w:val="auto"/>
              </w:rPr>
            </w:pPr>
            <w:r>
              <w:rPr>
                <w:rFonts w:ascii="Arial" w:cs="Arial" w:eastAsia="Arial" w:hAnsi="Arial"/>
                <w:sz w:val="14"/>
                <w:szCs w:val="14"/>
                <w:b w:val="1"/>
                <w:bCs w:val="1"/>
                <w:color w:val="auto"/>
              </w:rPr>
              <w:t>Units or Other</w:t>
            </w:r>
          </w:p>
        </w:tc>
        <w:tc>
          <w:tcPr>
            <w:tcW w:w="1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Units or Other</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tcPr>
          <w:p>
            <w:pPr>
              <w:jc w:val="right"/>
              <w:ind w:right="282"/>
              <w:spacing w:after="0"/>
              <w:rPr>
                <w:sz w:val="20"/>
                <w:szCs w:val="20"/>
                <w:color w:val="auto"/>
              </w:rPr>
            </w:pPr>
            <w:r>
              <w:rPr>
                <w:rFonts w:ascii="Arial" w:cs="Arial" w:eastAsia="Arial" w:hAnsi="Arial"/>
                <w:sz w:val="14"/>
                <w:szCs w:val="14"/>
                <w:b w:val="1"/>
                <w:bCs w:val="1"/>
                <w:color w:val="auto"/>
              </w:rPr>
              <w:t>Commencement</w:t>
            </w:r>
          </w:p>
        </w:tc>
        <w:tc>
          <w:tcPr>
            <w:tcW w:w="1360" w:type="dxa"/>
            <w:vAlign w:val="bottom"/>
          </w:tcPr>
          <w:p>
            <w:pPr>
              <w:jc w:val="right"/>
              <w:ind w:right="22"/>
              <w:spacing w:after="0"/>
              <w:rPr>
                <w:sz w:val="20"/>
                <w:szCs w:val="20"/>
                <w:color w:val="auto"/>
              </w:rPr>
            </w:pPr>
            <w:r>
              <w:rPr>
                <w:rFonts w:ascii="Arial" w:cs="Arial" w:eastAsia="Arial" w:hAnsi="Arial"/>
                <w:sz w:val="14"/>
                <w:szCs w:val="14"/>
                <w:b w:val="1"/>
                <w:bCs w:val="1"/>
                <w:color w:val="auto"/>
              </w:rPr>
              <w:t>That Have Not</w:t>
            </w: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Stock That Have</w:t>
            </w:r>
          </w:p>
        </w:tc>
        <w:tc>
          <w:tcPr>
            <w:tcW w:w="1680" w:type="dxa"/>
            <w:vAlign w:val="bottom"/>
          </w:tcPr>
          <w:p>
            <w:pPr>
              <w:jc w:val="right"/>
              <w:ind w:right="108"/>
              <w:spacing w:after="0"/>
              <w:rPr>
                <w:sz w:val="20"/>
                <w:szCs w:val="20"/>
                <w:color w:val="auto"/>
              </w:rPr>
            </w:pPr>
            <w:r>
              <w:rPr>
                <w:rFonts w:ascii="Arial" w:cs="Arial" w:eastAsia="Arial" w:hAnsi="Arial"/>
                <w:sz w:val="14"/>
                <w:szCs w:val="14"/>
                <w:b w:val="1"/>
                <w:bCs w:val="1"/>
                <w:color w:val="auto"/>
              </w:rPr>
              <w:t>Rights That Have</w:t>
            </w:r>
          </w:p>
        </w:tc>
        <w:tc>
          <w:tcPr>
            <w:tcW w:w="1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Rights That Have</w:t>
            </w:r>
          </w:p>
        </w:tc>
        <w:tc>
          <w:tcPr>
            <w:tcW w:w="0" w:type="dxa"/>
            <w:vAlign w:val="bottom"/>
          </w:tcPr>
          <w:p>
            <w:pPr>
              <w:spacing w:after="0"/>
              <w:rPr>
                <w:sz w:val="1"/>
                <w:szCs w:val="1"/>
                <w:color w:val="auto"/>
              </w:rPr>
            </w:pPr>
          </w:p>
        </w:tc>
      </w:tr>
      <w:tr>
        <w:trPr>
          <w:trHeight w:val="185"/>
        </w:trPr>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Grant Date</w:t>
            </w:r>
          </w:p>
        </w:tc>
        <w:tc>
          <w:tcPr>
            <w:tcW w:w="16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Date</w:t>
            </w: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Vested (#)</w:t>
            </w:r>
          </w:p>
        </w:tc>
        <w:tc>
          <w:tcPr>
            <w:tcW w:w="1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Not Vested ($)(2)</w:t>
            </w:r>
          </w:p>
        </w:tc>
        <w:tc>
          <w:tcPr>
            <w:tcW w:w="1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Not Vested (#)</w:t>
            </w:r>
          </w:p>
        </w:tc>
        <w:tc>
          <w:tcPr>
            <w:tcW w:w="1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Not Vested ($)</w:t>
            </w: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Brian C. Thomas, Ph.D.(3)</w:t>
            </w: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11/2/21</w:t>
            </w:r>
          </w:p>
        </w:tc>
        <w:tc>
          <w:tcPr>
            <w:tcW w:w="16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11/1/21</w:t>
            </w: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92,223</w:t>
            </w:r>
          </w:p>
        </w:tc>
        <w:tc>
          <w:tcPr>
            <w:tcW w:w="16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00" w:type="dxa"/>
            <w:vAlign w:val="bottom"/>
          </w:tcPr>
          <w:p>
            <w:pPr>
              <w:ind w:left="160"/>
              <w:spacing w:after="0"/>
              <w:rPr>
                <w:sz w:val="20"/>
                <w:szCs w:val="20"/>
                <w:color w:val="auto"/>
              </w:rPr>
            </w:pPr>
            <w:r>
              <w:rPr>
                <w:rFonts w:ascii="Arial" w:cs="Arial" w:eastAsia="Arial" w:hAnsi="Arial"/>
                <w:sz w:val="16"/>
                <w:szCs w:val="16"/>
                <w:i w:val="1"/>
                <w:iCs w:val="1"/>
                <w:color w:val="auto"/>
              </w:rPr>
              <w:t>Chief Executive Officer</w:t>
            </w: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5/26/22</w:t>
            </w:r>
          </w:p>
        </w:tc>
        <w:tc>
          <w:tcPr>
            <w:tcW w:w="1680" w:type="dxa"/>
            <w:vAlign w:val="bottom"/>
          </w:tcPr>
          <w:p>
            <w:pPr>
              <w:jc w:val="right"/>
              <w:ind w:right="282"/>
              <w:spacing w:after="0"/>
              <w:rPr>
                <w:sz w:val="20"/>
                <w:szCs w:val="20"/>
                <w:color w:val="auto"/>
              </w:rPr>
            </w:pPr>
            <w:r>
              <w:rPr>
                <w:rFonts w:ascii="Arial" w:cs="Arial" w:eastAsia="Arial" w:hAnsi="Arial"/>
                <w:sz w:val="16"/>
                <w:szCs w:val="16"/>
                <w:color w:val="auto"/>
              </w:rPr>
              <w:t>1/21/22</w:t>
            </w: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649,139</w:t>
            </w:r>
          </w:p>
        </w:tc>
        <w:tc>
          <w:tcPr>
            <w:tcW w:w="16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Jian Irish, Ph.D., MBA(4)</w:t>
            </w: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1/26/21</w:t>
            </w:r>
          </w:p>
        </w:tc>
        <w:tc>
          <w:tcPr>
            <w:tcW w:w="16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1/5/21</w:t>
            </w: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250,316</w:t>
            </w:r>
          </w:p>
        </w:tc>
        <w:tc>
          <w:tcPr>
            <w:tcW w:w="16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100" w:type="dxa"/>
            <w:vAlign w:val="bottom"/>
          </w:tcPr>
          <w:p>
            <w:pPr>
              <w:ind w:left="160"/>
              <w:spacing w:after="0"/>
              <w:rPr>
                <w:sz w:val="20"/>
                <w:szCs w:val="20"/>
                <w:color w:val="auto"/>
              </w:rPr>
            </w:pPr>
            <w:r>
              <w:rPr>
                <w:rFonts w:ascii="Arial" w:cs="Arial" w:eastAsia="Arial" w:hAnsi="Arial"/>
                <w:sz w:val="16"/>
                <w:szCs w:val="16"/>
                <w:i w:val="1"/>
                <w:iCs w:val="1"/>
                <w:color w:val="auto"/>
              </w:rPr>
              <w:t>President and Chief</w:t>
            </w: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11/2/21</w:t>
            </w:r>
          </w:p>
        </w:tc>
        <w:tc>
          <w:tcPr>
            <w:tcW w:w="1680" w:type="dxa"/>
            <w:vAlign w:val="bottom"/>
          </w:tcPr>
          <w:p>
            <w:pPr>
              <w:jc w:val="right"/>
              <w:ind w:right="282"/>
              <w:spacing w:after="0"/>
              <w:rPr>
                <w:sz w:val="20"/>
                <w:szCs w:val="20"/>
                <w:color w:val="auto"/>
              </w:rPr>
            </w:pPr>
            <w:r>
              <w:rPr>
                <w:rFonts w:ascii="Arial" w:cs="Arial" w:eastAsia="Arial" w:hAnsi="Arial"/>
                <w:sz w:val="16"/>
                <w:szCs w:val="16"/>
                <w:color w:val="auto"/>
              </w:rPr>
              <w:t>11/1/21</w:t>
            </w: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322,776</w:t>
            </w:r>
          </w:p>
        </w:tc>
        <w:tc>
          <w:tcPr>
            <w:tcW w:w="16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00" w:type="dxa"/>
            <w:vAlign w:val="bottom"/>
          </w:tcPr>
          <w:p>
            <w:pPr>
              <w:ind w:left="160"/>
              <w:spacing w:after="0"/>
              <w:rPr>
                <w:sz w:val="20"/>
                <w:szCs w:val="20"/>
                <w:color w:val="auto"/>
              </w:rPr>
            </w:pPr>
            <w:r>
              <w:rPr>
                <w:rFonts w:ascii="Arial" w:cs="Arial" w:eastAsia="Arial" w:hAnsi="Arial"/>
                <w:sz w:val="16"/>
                <w:szCs w:val="16"/>
                <w:i w:val="1"/>
                <w:iCs w:val="1"/>
                <w:color w:val="auto"/>
              </w:rPr>
              <w:t>Operating Officer</w:t>
            </w: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5/26/22</w:t>
            </w:r>
          </w:p>
        </w:tc>
        <w:tc>
          <w:tcPr>
            <w:tcW w:w="1680" w:type="dxa"/>
            <w:vAlign w:val="bottom"/>
          </w:tcPr>
          <w:p>
            <w:pPr>
              <w:jc w:val="right"/>
              <w:ind w:right="282"/>
              <w:spacing w:after="0"/>
              <w:rPr>
                <w:sz w:val="20"/>
                <w:szCs w:val="20"/>
                <w:color w:val="auto"/>
              </w:rPr>
            </w:pPr>
            <w:r>
              <w:rPr>
                <w:rFonts w:ascii="Arial" w:cs="Arial" w:eastAsia="Arial" w:hAnsi="Arial"/>
                <w:sz w:val="16"/>
                <w:szCs w:val="16"/>
                <w:color w:val="auto"/>
              </w:rPr>
              <w:t>1/21/22</w:t>
            </w: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166,160</w:t>
            </w:r>
          </w:p>
        </w:tc>
        <w:tc>
          <w:tcPr>
            <w:tcW w:w="1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Simon Harnest, MSc</w:t>
            </w: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8/30/21</w:t>
            </w:r>
          </w:p>
        </w:tc>
        <w:tc>
          <w:tcPr>
            <w:tcW w:w="16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7/6/21</w:t>
            </w: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102,103</w:t>
            </w:r>
          </w:p>
        </w:tc>
        <w:tc>
          <w:tcPr>
            <w:tcW w:w="16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00" w:type="dxa"/>
            <w:vAlign w:val="bottom"/>
          </w:tcPr>
          <w:p>
            <w:pPr>
              <w:ind w:left="160"/>
              <w:spacing w:after="0"/>
              <w:rPr>
                <w:sz w:val="20"/>
                <w:szCs w:val="20"/>
                <w:color w:val="auto"/>
              </w:rPr>
            </w:pPr>
            <w:r>
              <w:rPr>
                <w:rFonts w:ascii="Arial" w:cs="Arial" w:eastAsia="Arial" w:hAnsi="Arial"/>
                <w:sz w:val="16"/>
                <w:szCs w:val="16"/>
                <w:i w:val="1"/>
                <w:iCs w:val="1"/>
                <w:color w:val="auto"/>
              </w:rPr>
              <w:t>Chief Investment Officer</w:t>
            </w: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5/26/22</w:t>
            </w:r>
          </w:p>
        </w:tc>
        <w:tc>
          <w:tcPr>
            <w:tcW w:w="1680" w:type="dxa"/>
            <w:vAlign w:val="bottom"/>
          </w:tcPr>
          <w:p>
            <w:pPr>
              <w:jc w:val="right"/>
              <w:ind w:right="282"/>
              <w:spacing w:after="0"/>
              <w:rPr>
                <w:sz w:val="20"/>
                <w:szCs w:val="20"/>
                <w:color w:val="auto"/>
              </w:rPr>
            </w:pPr>
            <w:r>
              <w:rPr>
                <w:rFonts w:ascii="Arial" w:cs="Arial" w:eastAsia="Arial" w:hAnsi="Arial"/>
                <w:sz w:val="16"/>
                <w:szCs w:val="16"/>
                <w:color w:val="auto"/>
              </w:rPr>
              <w:t>1/21/22</w:t>
            </w: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60,000</w:t>
            </w:r>
          </w:p>
        </w:tc>
        <w:tc>
          <w:tcPr>
            <w:tcW w:w="1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608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42" w:lineRule="exact"/>
        <w:rPr>
          <w:sz w:val="20"/>
          <w:szCs w:val="20"/>
          <w:color w:val="auto"/>
        </w:rPr>
      </w:pPr>
    </w:p>
    <w:p>
      <w:pPr>
        <w:ind w:left="540" w:right="40" w:hanging="424"/>
        <w:spacing w:after="0" w:line="252" w:lineRule="auto"/>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All awards in this table consist of profits interests granted under the 2019 Plan that are intended to qualify as “profits interests” for U.S. tax purposes. They do not require the payment of an exercise price and will only obtain value as value of the underlying security rises above its grant date value, which is referred to as the “Threshold Amount.” The profits interests vest as follows: 25% vest on the one year anniversary of the vesting commencement date; and then the remaining 75% of the total profits interests vest in substantially equal amounts on each monthly anniversary of the vesting commencement date thereafter, until fully vested on the fourth anniversary of the vesting commencement date, based upon the participant’s continued service on each applicable vesting date.</w:t>
      </w:r>
    </w:p>
    <w:p>
      <w:pPr>
        <w:spacing w:after="0" w:line="45" w:lineRule="exact"/>
        <w:rPr>
          <w:rFonts w:ascii="Arial" w:cs="Arial" w:eastAsia="Arial" w:hAnsi="Arial"/>
          <w:sz w:val="14"/>
          <w:szCs w:val="14"/>
          <w:color w:val="auto"/>
        </w:rPr>
      </w:pPr>
    </w:p>
    <w:p>
      <w:pPr>
        <w:ind w:left="540" w:hanging="424"/>
        <w:spacing w:after="0"/>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Represents the fair market value of profits interests that were unvested as of December 31, 2022. The fair market value assumes an initial public offering prior of</w:t>
      </w:r>
    </w:p>
    <w:p>
      <w:pPr>
        <w:spacing w:after="0" w:line="15"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4"/>
          <w:szCs w:val="14"/>
          <w:color w:val="auto"/>
        </w:rPr>
        <w:t>$per share, which is the estimated midpoint of the price range set forth on the cover page of this prospectus.</w:t>
      </w:r>
    </w:p>
    <w:p>
      <w:pPr>
        <w:spacing w:after="0" w:line="68" w:lineRule="exact"/>
        <w:rPr>
          <w:rFonts w:ascii="Arial" w:cs="Arial" w:eastAsia="Arial" w:hAnsi="Arial"/>
          <w:sz w:val="14"/>
          <w:szCs w:val="14"/>
          <w:color w:val="auto"/>
        </w:rPr>
      </w:pPr>
    </w:p>
    <w:p>
      <w:pPr>
        <w:ind w:left="540" w:right="180" w:hanging="424"/>
        <w:spacing w:after="0" w:line="285" w:lineRule="auto"/>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Awards held by Dr. Thomas are subject to certain acceleration provisions, as summarized below under “Employment Arrangements in Place Prior to the Offering for Named Executive Officers.”</w:t>
      </w:r>
    </w:p>
    <w:p>
      <w:pPr>
        <w:spacing w:after="0" w:line="22" w:lineRule="exact"/>
        <w:rPr>
          <w:rFonts w:ascii="Arial" w:cs="Arial" w:eastAsia="Arial" w:hAnsi="Arial"/>
          <w:sz w:val="14"/>
          <w:szCs w:val="14"/>
          <w:color w:val="auto"/>
        </w:rPr>
      </w:pPr>
    </w:p>
    <w:p>
      <w:pPr>
        <w:ind w:left="540" w:right="440" w:hanging="424"/>
        <w:spacing w:after="0" w:line="285" w:lineRule="auto"/>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Awards held by Dr. Irish are subject to certain acceleration provisions, as summarized below under “Employment Arrangements in Place Prior to the Offering for Named Executive Officers.”</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Compensation Arrangements</w:t>
      </w:r>
    </w:p>
    <w:p>
      <w:pPr>
        <w:spacing w:after="0" w:line="148" w:lineRule="exact"/>
        <w:rPr>
          <w:sz w:val="20"/>
          <w:szCs w:val="20"/>
          <w:color w:val="auto"/>
        </w:rPr>
      </w:pPr>
    </w:p>
    <w:p>
      <w:pPr>
        <w:ind w:left="120" w:right="840"/>
        <w:spacing w:after="0" w:line="271" w:lineRule="auto"/>
        <w:rPr>
          <w:sz w:val="20"/>
          <w:szCs w:val="20"/>
          <w:color w:val="auto"/>
        </w:rPr>
      </w:pPr>
      <w:r>
        <w:rPr>
          <w:rFonts w:ascii="Arial" w:cs="Arial" w:eastAsia="Arial" w:hAnsi="Arial"/>
          <w:sz w:val="18"/>
          <w:szCs w:val="18"/>
          <w:color w:val="auto"/>
        </w:rPr>
        <w:t>We have entered into offer letters and/or employment agreements with each of our named executive officers. Each offer letter or employment agreement provides for “at-will” employment and the compensation and benefits described below.</w:t>
      </w:r>
    </w:p>
    <w:p>
      <w:pPr>
        <w:spacing w:after="0" w:line="223" w:lineRule="exact"/>
        <w:rPr>
          <w:sz w:val="20"/>
          <w:szCs w:val="20"/>
          <w:color w:val="auto"/>
        </w:rPr>
      </w:pPr>
    </w:p>
    <w:p>
      <w:pPr>
        <w:ind w:left="120" w:right="3580"/>
        <w:spacing w:after="0" w:line="405" w:lineRule="auto"/>
        <w:rPr>
          <w:sz w:val="20"/>
          <w:szCs w:val="20"/>
          <w:color w:val="auto"/>
        </w:rPr>
      </w:pPr>
      <w:r>
        <w:rPr>
          <w:rFonts w:ascii="Arial" w:cs="Arial" w:eastAsia="Arial" w:hAnsi="Arial"/>
          <w:sz w:val="18"/>
          <w:szCs w:val="18"/>
          <w:b w:val="1"/>
          <w:bCs w:val="1"/>
          <w:i w:val="1"/>
          <w:iCs w:val="1"/>
          <w:color w:val="auto"/>
        </w:rPr>
        <w:t xml:space="preserve">Employment Arrangements in Place Prior to The Offering for Named Executive Officers </w:t>
      </w:r>
      <w:r>
        <w:rPr>
          <w:rFonts w:ascii="Arial" w:cs="Arial" w:eastAsia="Arial" w:hAnsi="Arial"/>
          <w:sz w:val="18"/>
          <w:szCs w:val="18"/>
          <w:i w:val="1"/>
          <w:iCs w:val="1"/>
          <w:color w:val="auto"/>
        </w:rPr>
        <w:t>Brian C. Thomas</w:t>
      </w:r>
    </w:p>
    <w:p>
      <w:pPr>
        <w:spacing w:after="0" w:line="1"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On March 20, 2023, the Company executed an executive employment agreement with Dr. Thomas (the “Thomas Employment Agreement”), for the position of Chief Executive Officer. The Thomas Employment Agreement provides for Dr. Thomas’s at-will employment. Dr. Thomas’s current base salary is $520,000 and he is eligible to receive an annual bonus with an annual target amount of 50% of his annual base salary. Dr. Thomas is eligible to participate in the employee benefit plans available to our employees, subject to the terms of such plans.</w:t>
      </w:r>
    </w:p>
    <w:p>
      <w:pPr>
        <w:spacing w:after="0" w:line="95" w:lineRule="exact"/>
        <w:rPr>
          <w:sz w:val="20"/>
          <w:szCs w:val="20"/>
          <w:color w:val="auto"/>
        </w:rPr>
      </w:pPr>
    </w:p>
    <w:p>
      <w:pPr>
        <w:ind w:left="120" w:right="180"/>
        <w:spacing w:after="0" w:line="245" w:lineRule="auto"/>
        <w:rPr>
          <w:sz w:val="20"/>
          <w:szCs w:val="20"/>
          <w:color w:val="auto"/>
        </w:rPr>
      </w:pPr>
      <w:r>
        <w:rPr>
          <w:rFonts w:ascii="Arial" w:cs="Arial" w:eastAsia="Arial" w:hAnsi="Arial"/>
          <w:sz w:val="18"/>
          <w:szCs w:val="18"/>
          <w:color w:val="auto"/>
        </w:rPr>
        <w:t>Upon termination of Dr. Thomas’s employment by us without Cause or his resignation for Good Reason outside of the Change in Control Period, as such terms are defined in the Thomas Employment Agreement, subject to (i) Dr. Thomas resigning from all positions,</w:t>
      </w:r>
    </w:p>
    <w:p>
      <w:pPr>
        <w:ind w:left="360" w:hanging="244"/>
        <w:spacing w:after="0" w:line="235" w:lineRule="auto"/>
        <w:tabs>
          <w:tab w:leader="none" w:pos="3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signing a general release of claims in favor of the Company and (iii) not breaching any of the post-employment covenants and</w:t>
      </w:r>
    </w:p>
    <w:p>
      <w:pPr>
        <w:ind w:left="120" w:right="40"/>
        <w:spacing w:after="0" w:line="236" w:lineRule="auto"/>
        <w:rPr>
          <w:rFonts w:ascii="Arial" w:cs="Arial" w:eastAsia="Arial" w:hAnsi="Arial"/>
          <w:sz w:val="18"/>
          <w:szCs w:val="18"/>
          <w:color w:val="auto"/>
        </w:rPr>
      </w:pPr>
      <w:r>
        <w:rPr>
          <w:rFonts w:ascii="Arial" w:cs="Arial" w:eastAsia="Arial" w:hAnsi="Arial"/>
          <w:sz w:val="18"/>
          <w:szCs w:val="18"/>
          <w:color w:val="auto"/>
        </w:rPr>
        <w:t>contractual obligations to the Company, Dr. Thomas shall be entitled to (A) a lump sum payment equal to nine (9) months of his then current base salary and pro-rated target bonus, based on the number of days he was employed in such year, divided by 365, payable within sixty (60) days following his termination, and (B) if Dr. Thomas was participating in the Company’s group health plan immediately prior to the termination date, a monthly cash payment for nine (9) months in an amount equal to Dr. Thomas’s and his eligible dependents monthly COBRA premium. In addition, and subject to the same conditions, upon a termination by us without Cause or his resignation for Good Reason during the Change in Control Period, he shall be entitled to (A) a lump sum payment equal to twelve (12) months of his then current base salary and pro-rated target bonus, based on the number of days he was employed in such year, divided by 365, payable within sixty (60) days following his termination, (B) if Dr. Thomas was participating in the Company’s group health plan immediately prior to the termination date, a monthly cash payment for twelve (12) months in an amount equal to Dr. Thomas’s and his eligible dependents monthly COBRA premium, and (C) full acceleration of his then outstanding and unvested equity awards.</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Jian Irish</w:t>
      </w:r>
    </w:p>
    <w:p>
      <w:pPr>
        <w:spacing w:after="0" w:line="12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On January 19, 2021, the Company executed an offer letter with Dr. Irish (the “Irish Offer Letter”), for the position of Chief Operations Officer. The Irish Offer Letter provides for Dr. Irish’s at-will employment. Dr. Irish was promoted to President and Chief Operating Officer effective November 1, 2021. Dr. Irish’s current base salary is $468,000 and she is eligible to receive an annual bonus with an annual target amount of 45% of her annual salary. Dr. Irish is eligible to participate in the employee benefit plans available to our employees, subject to the terms of such plans. The Irish Offer Letter provides for Dr. Irish’s eligibility to receive a grant of profits interests under the 2019 Plan, which will be subject to full acceleration upon the occurrence of a Change of Control (as defined in the Irish Offer Letter).</w:t>
      </w:r>
    </w:p>
    <w:p>
      <w:pPr>
        <w:spacing w:after="0" w:line="111"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Upon a termination of Dr. Irish’s agreement by us without Cause, or her resignation for Good Reason, as such terms are defined in the Irish Offer Letter, she will be eligible to receive six (6) months of base salary, pro-rated annual bonus, and six (6) months vesting acceleration.</w:t>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40"/>
          </w:cols>
          <w:pgMar w:left="320" w:top="455" w:right="4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71" w:lineRule="auto"/>
        <w:rPr>
          <w:sz w:val="20"/>
          <w:szCs w:val="20"/>
          <w:color w:val="auto"/>
        </w:rPr>
      </w:pPr>
      <w:r>
        <w:rPr>
          <w:rFonts w:ascii="Arial" w:cs="Arial" w:eastAsia="Arial" w:hAnsi="Arial"/>
          <w:sz w:val="18"/>
          <w:szCs w:val="18"/>
          <w:color w:val="auto"/>
        </w:rPr>
        <w:t>Dr. Irish entered into an Employee Invention Assignment and Confidentiality Agreement that contains various restrictive covenants, including non-solicitation provisions that apply during her employment and for a period of twelve months thereafter.</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Simon Harnest</w:t>
      </w:r>
    </w:p>
    <w:p>
      <w:pPr>
        <w:spacing w:after="0" w:line="12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On June 10, 2021, the Company executed an offer letter with Mr. Harnest (the “Harnest Offer Letter”), for the position of Chief Investment Officer and Senior Vice President of Strategy. The Harnest Offer Letter provides for Mr. Harnest’s at-will employment. Mr. Harnest’s current base salary is $365,512 and he is eligible to receive an annual bonus with an annual target amount of 35% of his base salary. Mr. Harnest is eligible to participate in the employee benefit plans available to our employees, subject to the terms of such plans.</w:t>
      </w:r>
    </w:p>
    <w:p>
      <w:pPr>
        <w:spacing w:after="0" w:line="106"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Mr. Harnest entered into an Employee Invention Assignment and Confidentiality Agreement that contains various restrictive covenants, including non-solicitation provisions that apply during his employment and for a period of twelve months thereafter.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Employee Benefit and Equity Compensation Plans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2019 Plan was initially approved by the board of managers of the Company in March 2019. The 2019 Plan provided for the grant of profits interests, restricted common units, options to purchase common units and restricted equity units to selected employees, officers, directors and consultants of the Company. The total number of common units available for grant and issuance under the 2019 Plan is 14,604,165 common units. Common units that are (i) cancelled, forfeited, settled in cash, used to pay withholding obligations or that expire by their terms at any time and (ii) that are reacquired by the Company pursuant to a right of first refusal or repurchase by the Company, will again become available for issuance under the 2019 Plan. Our board of managers administers the 2019 Plan and has the authority to take any action necessary or advisable for the administration of the 2019 Plan. Our board has the right and discretion to grant awards under the 2019 Plan to participants.</w:t>
      </w:r>
    </w:p>
    <w:p>
      <w:pPr>
        <w:spacing w:after="0" w:line="9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Common units designated as profits interests by the board of managers are intended to meet the definition of a “profits interests” set forth in IRS Revenue Procedures 93-27 and 2001-43. Accordingly, such profits interests do not give the holder a share of the proceeds if the Company’s assets were sold at fair market value and the proceeds of such disposition were distributed in a complete liquidation of the Company immediately after the date of grant, but give the holder a right to share in the appreciation in the value of a common unit from the date of receipt to the future, as determined by the applicable provisions of the Company’s operating agreement in effect immediately prior to the Reorganization.</w:t>
      </w:r>
    </w:p>
    <w:p>
      <w:pPr>
        <w:spacing w:after="0" w:line="111" w:lineRule="exact"/>
        <w:rPr>
          <w:sz w:val="20"/>
          <w:szCs w:val="20"/>
          <w:color w:val="auto"/>
        </w:rPr>
      </w:pPr>
    </w:p>
    <w:p>
      <w:pPr>
        <w:ind w:left="120" w:right="380"/>
        <w:spacing w:after="0" w:line="253" w:lineRule="auto"/>
        <w:rPr>
          <w:sz w:val="20"/>
          <w:szCs w:val="20"/>
          <w:color w:val="auto"/>
        </w:rPr>
      </w:pPr>
      <w:r>
        <w:rPr>
          <w:rFonts w:ascii="Arial" w:cs="Arial" w:eastAsia="Arial" w:hAnsi="Arial"/>
          <w:sz w:val="18"/>
          <w:szCs w:val="18"/>
          <w:color w:val="auto"/>
        </w:rPr>
        <w:t>Upon a liquidation event, as defined in the 2019 Plan, the board of managers may in its sole discretion, cancel all outstanding and unexercised awards, including profits interests and other unvested awards, in each case, without consideration, as of the date of such liquidation event.</w:t>
      </w:r>
    </w:p>
    <w:p>
      <w:pPr>
        <w:spacing w:after="0" w:line="101"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The 2019 Plan will terminate automatically ten (10) years after the later of (i) the date when the board adopted the 2019 Plan and (ii) the date when the board approved the most recent increase in the number of common units reserved under the 2019 Plan, which was also subsequently approved by the members of the company. The board of managers may amend, suspend or terminate the 2019 Plan at any time and for any reason; provided, that any amendment that would materially adversely impact an award shall only be effective with respect to such award if the holder thereof so consents prior to the date of the amendment.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5" w:right="45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35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538"/>
        </w:trPr>
        <w:tc>
          <w:tcPr>
            <w:tcW w:w="820" w:type="dxa"/>
            <w:vAlign w:val="bottom"/>
          </w:tcPr>
          <w:p>
            <w:pPr>
              <w:ind w:left="120"/>
              <w:spacing w:after="0"/>
              <w:rPr>
                <w:sz w:val="20"/>
                <w:szCs w:val="20"/>
                <w:color w:val="auto"/>
              </w:rPr>
            </w:pPr>
            <w:r>
              <w:rPr>
                <w:rFonts w:ascii="Arial" w:cs="Arial" w:eastAsia="Arial" w:hAnsi="Arial"/>
                <w:sz w:val="18"/>
                <w:szCs w:val="18"/>
                <w:color w:val="auto"/>
              </w:rPr>
              <w:t>As of</w:t>
            </w:r>
          </w:p>
        </w:tc>
        <w:tc>
          <w:tcPr>
            <w:tcW w:w="7880" w:type="dxa"/>
            <w:vAlign w:val="bottom"/>
            <w:gridSpan w:val="3"/>
          </w:tcPr>
          <w:p>
            <w:pPr>
              <w:ind w:left="300"/>
              <w:spacing w:after="0"/>
              <w:rPr>
                <w:sz w:val="20"/>
                <w:szCs w:val="20"/>
                <w:color w:val="auto"/>
              </w:rPr>
            </w:pPr>
            <w:r>
              <w:rPr>
                <w:rFonts w:ascii="Arial" w:cs="Arial" w:eastAsia="Arial" w:hAnsi="Arial"/>
                <w:sz w:val="18"/>
                <w:szCs w:val="18"/>
                <w:color w:val="auto"/>
              </w:rPr>
              <w:t>, 2023,  profits interests have been issued under the 2019 Plan. See “Reorganization.”</w:t>
            </w:r>
          </w:p>
        </w:tc>
        <w:tc>
          <w:tcPr>
            <w:tcW w:w="2140" w:type="dxa"/>
            <w:vAlign w:val="bottom"/>
          </w:tcPr>
          <w:p>
            <w:pPr>
              <w:spacing w:after="0"/>
              <w:rPr>
                <w:sz w:val="24"/>
                <w:szCs w:val="24"/>
                <w:color w:val="auto"/>
              </w:rPr>
            </w:pPr>
          </w:p>
        </w:tc>
      </w:tr>
      <w:tr>
        <w:trPr>
          <w:trHeight w:val="508"/>
        </w:trPr>
        <w:tc>
          <w:tcPr>
            <w:tcW w:w="490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rPr>
              <w:t>2023 Stock Option and Incentive Plan</w:t>
            </w:r>
          </w:p>
        </w:tc>
        <w:tc>
          <w:tcPr>
            <w:tcW w:w="38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11"/>
        </w:trPr>
        <w:tc>
          <w:tcPr>
            <w:tcW w:w="4900" w:type="dxa"/>
            <w:vAlign w:val="bottom"/>
            <w:gridSpan w:val="3"/>
          </w:tcPr>
          <w:p>
            <w:pPr>
              <w:ind w:left="120"/>
              <w:spacing w:after="0"/>
              <w:rPr>
                <w:sz w:val="20"/>
                <w:szCs w:val="20"/>
                <w:color w:val="auto"/>
              </w:rPr>
            </w:pPr>
            <w:r>
              <w:rPr>
                <w:rFonts w:ascii="Arial" w:cs="Arial" w:eastAsia="Arial" w:hAnsi="Arial"/>
                <w:sz w:val="18"/>
                <w:szCs w:val="18"/>
                <w:color w:val="auto"/>
              </w:rPr>
              <w:t>Our 2023 Plan was adopted by our board of directors on</w:t>
            </w:r>
          </w:p>
        </w:tc>
        <w:tc>
          <w:tcPr>
            <w:tcW w:w="3800" w:type="dxa"/>
            <w:vAlign w:val="bottom"/>
          </w:tcPr>
          <w:p>
            <w:pPr>
              <w:ind w:left="300"/>
              <w:spacing w:after="0"/>
              <w:rPr>
                <w:sz w:val="20"/>
                <w:szCs w:val="20"/>
                <w:color w:val="auto"/>
              </w:rPr>
            </w:pPr>
            <w:r>
              <w:rPr>
                <w:rFonts w:ascii="Arial" w:cs="Arial" w:eastAsia="Arial" w:hAnsi="Arial"/>
                <w:sz w:val="18"/>
                <w:szCs w:val="18"/>
                <w:color w:val="auto"/>
              </w:rPr>
              <w:t>, 2023, approved by our stockholders on</w:t>
            </w:r>
          </w:p>
        </w:tc>
        <w:tc>
          <w:tcPr>
            <w:tcW w:w="2140" w:type="dxa"/>
            <w:vAlign w:val="bottom"/>
          </w:tcPr>
          <w:p>
            <w:pPr>
              <w:ind w:left="300"/>
              <w:spacing w:after="0"/>
              <w:rPr>
                <w:sz w:val="20"/>
                <w:szCs w:val="20"/>
                <w:color w:val="auto"/>
              </w:rPr>
            </w:pPr>
            <w:r>
              <w:rPr>
                <w:rFonts w:ascii="Arial" w:cs="Arial" w:eastAsia="Arial" w:hAnsi="Arial"/>
                <w:sz w:val="18"/>
                <w:szCs w:val="18"/>
                <w:color w:val="auto"/>
                <w:w w:val="98"/>
              </w:rPr>
              <w:t>, 2023 and will become</w:t>
            </w:r>
          </w:p>
        </w:tc>
      </w:tr>
    </w:tbl>
    <w:p>
      <w:pPr>
        <w:ind w:left="120" w:right="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 upon the date immediately preceding the date on which the registration statement of which this prospectus is part is declared effective by the SEC. The 2023 Plan will replace the 2019 Plan as our board of directors has determined not to make additional awards under the 2019 Plan following the closing of our initial public offering. The 2023 Plan allows us to make equity-based and cash-based incentive awards to our officers, employees, directors and consultants.</w:t>
      </w:r>
    </w:p>
    <w:p>
      <w:pPr>
        <w:spacing w:after="0" w:line="113" w:lineRule="exact"/>
        <w:rPr>
          <w:sz w:val="20"/>
          <w:szCs w:val="20"/>
          <w:color w:val="auto"/>
        </w:rPr>
      </w:pPr>
    </w:p>
    <w:p>
      <w:pPr>
        <w:ind w:left="120" w:right="220"/>
        <w:spacing w:after="0" w:line="245" w:lineRule="auto"/>
        <w:rPr>
          <w:sz w:val="20"/>
          <w:szCs w:val="20"/>
          <w:color w:val="auto"/>
        </w:rPr>
      </w:pPr>
      <w:r>
        <w:rPr>
          <w:rFonts w:ascii="Arial" w:cs="Arial" w:eastAsia="Arial" w:hAnsi="Arial"/>
          <w:sz w:val="18"/>
          <w:szCs w:val="18"/>
          <w:color w:val="auto"/>
        </w:rPr>
        <w:t>We have initially reserved shares of our common stock for the issuance of awards under the 2023 Plan (the “Initial Limit”). The 2023 Plan provides that the number of shares reserved and available for issuance under the 2023 Plan will automatically increase on</w:t>
      </w:r>
    </w:p>
    <w:p>
      <w:pPr>
        <w:ind w:left="120" w:right="340"/>
        <w:spacing w:after="0"/>
        <w:rPr>
          <w:sz w:val="20"/>
          <w:szCs w:val="20"/>
          <w:color w:val="auto"/>
        </w:rPr>
      </w:pPr>
      <w:r>
        <w:rPr>
          <w:rFonts w:ascii="Arial" w:cs="Arial" w:eastAsia="Arial" w:hAnsi="Arial"/>
          <w:sz w:val="18"/>
          <w:szCs w:val="18"/>
          <w:color w:val="auto"/>
        </w:rPr>
        <w:t>January 1, 2024 and each January 1 thereafter, by percent of the outstanding number of shares of our common stock on the immediately preceding December 31 or such lesser number of shares as determined by our compensation committee (the “Annual Increase”). The number of shares reserved under the 2023 Plan is subject to adjustment in the event of a stock split, stock dividend or other change in our capitalization.</w:t>
      </w:r>
    </w:p>
    <w:p>
      <w:pPr>
        <w:spacing w:after="0" w:line="11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The shares we issue under the 2023 Plan will be authorized but unissued shares or shares that we reacquire. The shares of common stock underlying any awards under the 2023 Plan and the 2019 Plan that are forfeited, cancelled, held back upon exercise or settlement of an award to satisfy the exercise price or tax withholding, reacquired by us prior to vesting, satisfied without the issuance of stock, expire or are otherwise terminated (other than by exercise) will be added back to the shares of common stock available for issuance under the 2023 Plan.</w:t>
      </w:r>
    </w:p>
    <w:p>
      <w:pPr>
        <w:spacing w:after="0" w:line="95" w:lineRule="exact"/>
        <w:rPr>
          <w:sz w:val="20"/>
          <w:szCs w:val="20"/>
          <w:color w:val="auto"/>
        </w:rPr>
      </w:pPr>
    </w:p>
    <w:p>
      <w:pPr>
        <w:ind w:left="120" w:right="360"/>
        <w:spacing w:after="0" w:line="259" w:lineRule="auto"/>
        <w:rPr>
          <w:sz w:val="20"/>
          <w:szCs w:val="20"/>
          <w:color w:val="auto"/>
        </w:rPr>
      </w:pPr>
      <w:r>
        <w:rPr>
          <w:rFonts w:ascii="Arial" w:cs="Arial" w:eastAsia="Arial" w:hAnsi="Arial"/>
          <w:sz w:val="17"/>
          <w:szCs w:val="17"/>
          <w:color w:val="auto"/>
        </w:rPr>
        <w:t>The maximum number of shares of common stock that may be issued in the form of incentive stock options shall not exceed the Initial Limit, cumulatively increased on January 1, 2024 and on each January 1 thereafter by the lesser of the Annual Increase for such year</w:t>
      </w:r>
    </w:p>
    <w:p>
      <w:pPr>
        <w:spacing w:after="0" w:line="1"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color w:val="auto"/>
        </w:rPr>
        <w:t>or</w:t>
      </w:r>
      <w:r>
        <w:rPr>
          <w:sz w:val="20"/>
          <w:szCs w:val="20"/>
          <w:color w:val="auto"/>
        </w:rPr>
        <w:tab/>
      </w:r>
      <w:r>
        <w:rPr>
          <w:rFonts w:ascii="Arial" w:cs="Arial" w:eastAsia="Arial" w:hAnsi="Arial"/>
          <w:sz w:val="18"/>
          <w:szCs w:val="18"/>
          <w:color w:val="auto"/>
        </w:rPr>
        <w:t>shares of common stock.</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grant date fair value of all awards made under our 2023 Plan and all other cash compensation paid by us to any non-employee</w:t>
      </w:r>
    </w:p>
    <w:p>
      <w:pPr>
        <w:spacing w:after="0" w:line="9" w:lineRule="exact"/>
        <w:rPr>
          <w:sz w:val="20"/>
          <w:szCs w:val="20"/>
          <w:color w:val="auto"/>
        </w:rPr>
      </w:pPr>
    </w:p>
    <w:p>
      <w:pPr>
        <w:ind w:left="120"/>
        <w:spacing w:after="0"/>
        <w:tabs>
          <w:tab w:leader="none" w:pos="7460" w:val="left"/>
        </w:tabs>
        <w:rPr>
          <w:sz w:val="20"/>
          <w:szCs w:val="20"/>
          <w:color w:val="auto"/>
        </w:rPr>
      </w:pPr>
      <w:r>
        <w:rPr>
          <w:rFonts w:ascii="Arial" w:cs="Arial" w:eastAsia="Arial" w:hAnsi="Arial"/>
          <w:sz w:val="18"/>
          <w:szCs w:val="18"/>
          <w:color w:val="auto"/>
        </w:rPr>
        <w:t>director in any calendar year for services as a non-employee director shall not exceed $</w:t>
      </w:r>
      <w:r>
        <w:rPr>
          <w:sz w:val="20"/>
          <w:szCs w:val="20"/>
          <w:color w:val="auto"/>
        </w:rPr>
        <w:tab/>
      </w:r>
      <w:r>
        <w:rPr>
          <w:rFonts w:ascii="Arial" w:cs="Arial" w:eastAsia="Arial" w:hAnsi="Arial"/>
          <w:sz w:val="17"/>
          <w:szCs w:val="17"/>
          <w:color w:val="auto"/>
        </w:rPr>
        <w:t>; provided, however, that such amount shall</w:t>
      </w:r>
    </w:p>
    <w:p>
      <w:pPr>
        <w:ind w:left="120"/>
        <w:spacing w:after="0"/>
        <w:tabs>
          <w:tab w:leader="none" w:pos="900" w:val="left"/>
        </w:tabs>
        <w:rPr>
          <w:sz w:val="20"/>
          <w:szCs w:val="20"/>
          <w:color w:val="auto"/>
        </w:rPr>
      </w:pPr>
      <w:r>
        <w:rPr>
          <w:rFonts w:ascii="Arial" w:cs="Arial" w:eastAsia="Arial" w:hAnsi="Arial"/>
          <w:sz w:val="18"/>
          <w:szCs w:val="18"/>
          <w:color w:val="auto"/>
        </w:rPr>
        <w:t>be $</w:t>
      </w:r>
      <w:r>
        <w:rPr>
          <w:sz w:val="20"/>
          <w:szCs w:val="20"/>
          <w:color w:val="auto"/>
        </w:rPr>
        <w:tab/>
      </w:r>
      <w:r>
        <w:rPr>
          <w:rFonts w:ascii="Arial" w:cs="Arial" w:eastAsia="Arial" w:hAnsi="Arial"/>
          <w:sz w:val="17"/>
          <w:szCs w:val="17"/>
          <w:color w:val="auto"/>
        </w:rPr>
        <w:t>for the calendar year in which the applicable non-employee director is initially elected or appointed to the board of directors.</w:t>
      </w:r>
    </w:p>
    <w:p>
      <w:pPr>
        <w:spacing w:after="0" w:line="126"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The 2023 Plan will be administered by our compensation committee. Our compensation committee has the full power to select, from among the individuals eligible for awards, the individuals to whom awards will be granted and the number of shares subject to such awards, to make any combination of awards to participants, to accelerate at any time the exercisability or vesting of any award and to determine the specific terms and conditions of each award, subject to the provisions of the 2023 Plan. Persons eligible to participate in the 2023 Plan will be those full or part-time officers, employees, non-employee directors and consultants as selected from time to time by our compensation committee in its discretion.</w:t>
      </w:r>
    </w:p>
    <w:p>
      <w:pPr>
        <w:spacing w:after="0" w:line="98"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The 2023 Plan permits the granting of both options to purchase common stock intended to qualify as incentive stock options under Section 422 of the Code and options that do not so qualify. The option exercise price of each option will be determined by our compensation committee but generally may not be less than 100 percent of the fair market value of our common stock on the date of grant unless the option (i) is granted pursuant to a transaction described in, and in a manner consistent with Section 424(a) of the Code, (ii) is granted to an individual who is not subject to U.S. income tax or (iii) complies with Section 409A of the Code. The term of each</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20"/>
          </w:cols>
          <w:pgMar w:left="320" w:top="446"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option will be fixed by our compensation committee and may not exceed 10 years from the date of grant. Our compensation committee will determine at what time or times each option may be exercised.</w:t>
      </w:r>
    </w:p>
    <w:p>
      <w:pPr>
        <w:spacing w:after="0" w:line="8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Our compensation committee may award stock appreciation rights under the 2023 Plan subject to such conditions and restrictions as it may determine. Stock appreciation rights entitle the recipient to shares of common stock, or cash, equal to the value of the appreciation in our stock price over the exercise price. The exercise price of each stock appreciation right will be determined by our compensation committee but generally may not be less than 100 percent of the fair market value of our common stock on the date of grant unless the stock appreciation right (i) is granted pursuant to a transaction described in, and in a manner consistent with Section 424(a) of the Code,</w:t>
      </w:r>
    </w:p>
    <w:p>
      <w:pPr>
        <w:spacing w:after="0" w:line="4" w:lineRule="exact"/>
        <w:rPr>
          <w:sz w:val="20"/>
          <w:szCs w:val="20"/>
          <w:color w:val="auto"/>
        </w:rPr>
      </w:pPr>
    </w:p>
    <w:p>
      <w:pPr>
        <w:ind w:left="120" w:right="60" w:hanging="4"/>
        <w:spacing w:after="0" w:line="242" w:lineRule="auto"/>
        <w:tabs>
          <w:tab w:leader="none" w:pos="37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is granted to an individual who is not subject to U.S. income tax or (iii) complies with Section 409A of the Code. The term of each stock appreciation right will be fixed by our compensation committee and may not exceed 10 years from the date of grant. Our compensation committee will determine at what time or times each stock appreciation right may be exercised.</w:t>
      </w:r>
    </w:p>
    <w:p>
      <w:pPr>
        <w:spacing w:after="0" w:line="112"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the 2023 Plan. Unrestricted stock may be granted to participants in recognition of past services or for other valid consideration and may be issued in lieu of cash compensation due to such participant.</w:t>
      </w:r>
    </w:p>
    <w:p>
      <w:pPr>
        <w:spacing w:after="0" w:line="95"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Our compensation committee may grant dividend equivalent rights to participants that entitle the recipient to receive credits for dividends that would be paid if the recipient had held a specified number of shares of common stock.</w:t>
      </w:r>
    </w:p>
    <w:p>
      <w:pPr>
        <w:spacing w:after="0" w:line="86" w:lineRule="exact"/>
        <w:rPr>
          <w:sz w:val="20"/>
          <w:szCs w:val="20"/>
          <w:color w:val="auto"/>
        </w:rPr>
      </w:pPr>
    </w:p>
    <w:p>
      <w:pPr>
        <w:ind w:left="120" w:right="780"/>
        <w:spacing w:after="0" w:line="271" w:lineRule="auto"/>
        <w:rPr>
          <w:sz w:val="20"/>
          <w:szCs w:val="20"/>
          <w:color w:val="auto"/>
        </w:rPr>
      </w:pPr>
      <w:r>
        <w:rPr>
          <w:rFonts w:ascii="Arial" w:cs="Arial" w:eastAsia="Arial" w:hAnsi="Arial"/>
          <w:sz w:val="18"/>
          <w:szCs w:val="18"/>
          <w:color w:val="auto"/>
        </w:rPr>
        <w:t>Our compensation committee may grant cash bonuses under the 2023 Plan to participants, subject to the achievement of certain performance goals.</w:t>
      </w:r>
    </w:p>
    <w:p>
      <w:pPr>
        <w:spacing w:after="0" w:line="8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 2023 Plan provides that upon the effectiveness of a “sale event,” as defined in the 2023 Plan, an acquirer or successor entity may assume, continue or substitute outstanding awards under the 2023 Plan. To the extent that awards granted under the 2023 Plan are not assumed or continued or substituted by the successor entity, upon the effective time of the sale event, such awards shall terminate. In the event of such termination, (i) individuals holding options and stock appreciation rights will be permitted to exercise such options and stock appreciation rights (to the extent exercisable) within a specified period of time prior to the sale event or (ii) we may make or provide for a payment, in cash or in kind, to participants holding vested and exercisable options and stock appreciation rights equal (A) the difference between the per share cash consideration payable to stockholders in the sale event and the per share exercise price of the options or stock appreciation rights, multiplied by (B) the number of shares subject to such outstanding vested and exercisable options and stock appreciation rights (to the extent exercisable at prices not in excess of the per share cash consideration), and we may make or provide for a payment, in cash or in kind, to participants holding other vested awards equal to the per share cash consideration multiplied by the number of vested shares underlying such awards.</w:t>
      </w:r>
    </w:p>
    <w:p>
      <w:pPr>
        <w:spacing w:after="0" w:line="105"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Our board of directors may amend or discontinue the 2023 Plan and our compensation committee may amend or cancel outstanding awards for purposes of satisfying changes in law or any other lawful purpose, but no such action may adversely affect rights under an award without the holder’s consent. Certain amendments to the 2023 Plan require the approval of our stockholders. The administrator of the 2023 Plan is specifically authorized to exercise its discretion to reduce the exercise price of outstanding stock options and stock appreciation rights or effect the repricing of such awards through cancellation and re-grants without stockholder consent. No awards may be granted under the 2023 Plan after the date that is 10 years from the effective date of the 2023 Plan. No awards under the 2023 Plan have been made prior to the date of this prospectus.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2023 Employee Stock Purchase Plan</w:t>
      </w:r>
    </w:p>
    <w:p>
      <w:pPr>
        <w:spacing w:after="0" w:line="142" w:lineRule="exact"/>
        <w:rPr>
          <w:sz w:val="20"/>
          <w:szCs w:val="20"/>
          <w:color w:val="auto"/>
        </w:rPr>
      </w:pPr>
    </w:p>
    <w:p>
      <w:pPr>
        <w:ind w:left="120"/>
        <w:spacing w:after="0"/>
        <w:tabs>
          <w:tab w:leader="none" w:pos="4840" w:val="left"/>
          <w:tab w:leader="none" w:pos="8860" w:val="left"/>
        </w:tabs>
        <w:rPr>
          <w:sz w:val="20"/>
          <w:szCs w:val="20"/>
          <w:color w:val="auto"/>
        </w:rPr>
      </w:pPr>
      <w:r>
        <w:rPr>
          <w:rFonts w:ascii="Arial" w:cs="Arial" w:eastAsia="Arial" w:hAnsi="Arial"/>
          <w:sz w:val="18"/>
          <w:szCs w:val="18"/>
          <w:color w:val="auto"/>
        </w:rPr>
        <w:t>Our ESPP was adopted by our board of directors on</w:t>
      </w:r>
      <w:r>
        <w:rPr>
          <w:sz w:val="20"/>
          <w:szCs w:val="20"/>
          <w:color w:val="auto"/>
        </w:rPr>
        <w:tab/>
      </w:r>
      <w:r>
        <w:rPr>
          <w:rFonts w:ascii="Arial" w:cs="Arial" w:eastAsia="Arial" w:hAnsi="Arial"/>
          <w:sz w:val="18"/>
          <w:szCs w:val="18"/>
          <w:color w:val="auto"/>
        </w:rPr>
        <w:t>, 2023, approved by our stockholders on</w:t>
      </w:r>
      <w:r>
        <w:rPr>
          <w:sz w:val="20"/>
          <w:szCs w:val="20"/>
          <w:color w:val="auto"/>
        </w:rPr>
        <w:tab/>
      </w:r>
      <w:r>
        <w:rPr>
          <w:rFonts w:ascii="Arial" w:cs="Arial" w:eastAsia="Arial" w:hAnsi="Arial"/>
          <w:sz w:val="17"/>
          <w:szCs w:val="17"/>
          <w:color w:val="auto"/>
        </w:rPr>
        <w:t>, 2023 and will become</w:t>
      </w:r>
    </w:p>
    <w:p>
      <w:pPr>
        <w:spacing w:after="0" w:line="14" w:lineRule="exact"/>
        <w:rPr>
          <w:sz w:val="20"/>
          <w:szCs w:val="20"/>
          <w:color w:val="auto"/>
        </w:rPr>
      </w:pPr>
    </w:p>
    <w:p>
      <w:pPr>
        <w:ind w:left="120" w:right="60"/>
        <w:spacing w:after="0" w:line="248" w:lineRule="auto"/>
        <w:rPr>
          <w:sz w:val="20"/>
          <w:szCs w:val="20"/>
          <w:color w:val="auto"/>
        </w:rPr>
      </w:pPr>
      <w:r>
        <w:rPr>
          <w:rFonts w:ascii="Arial" w:cs="Arial" w:eastAsia="Arial" w:hAnsi="Arial"/>
          <w:sz w:val="17"/>
          <w:szCs w:val="17"/>
          <w:color w:val="auto"/>
        </w:rPr>
        <w:t>effective on the date immediately preceding the date on which the registration statement of which this prospectus forms a part is declared effective by the SEC. The ESPP is intended to qualify as an “employee stock purchase plan” within the meaning of Section 423 of the</w:t>
      </w:r>
    </w:p>
    <w:p>
      <w:pPr>
        <w:spacing w:after="0" w:line="1" w:lineRule="exact"/>
        <w:rPr>
          <w:sz w:val="20"/>
          <w:szCs w:val="20"/>
          <w:color w:val="auto"/>
        </w:rPr>
      </w:pPr>
    </w:p>
    <w:p>
      <w:pPr>
        <w:ind w:left="120" w:right="180"/>
        <w:spacing w:after="0" w:line="248" w:lineRule="auto"/>
        <w:rPr>
          <w:sz w:val="20"/>
          <w:szCs w:val="20"/>
          <w:color w:val="auto"/>
        </w:rPr>
      </w:pPr>
      <w:r>
        <w:rPr>
          <w:rFonts w:ascii="Arial" w:cs="Arial" w:eastAsia="Arial" w:hAnsi="Arial"/>
          <w:sz w:val="17"/>
          <w:szCs w:val="17"/>
          <w:color w:val="auto"/>
        </w:rPr>
        <w:t>Code. The ESPP initially reserves and authorizes the issuance of up to a total of shares of our common stock to participating employees. The ESPP provides that the number of shares reserved and available for issuance will automatically increase on January 1,</w:t>
      </w:r>
    </w:p>
    <w:p>
      <w:pPr>
        <w:spacing w:after="0" w:line="1"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2024 and each January 1 thereafter through January 1, 2033, by the least of (i) shares of common stock, (ii) percent of the outstanding number of shares of common stock on the immediately preceding December 31, or (iii) such lesser number of shares of common stock as determined by the administrator of the ESPP. The number of shares reserved under the ESPP is subject to adjustment in the event of a stock split, stock dividend or other change in our capitalization.</w:t>
      </w:r>
    </w:p>
    <w:p>
      <w:pPr>
        <w:spacing w:after="0" w:line="113"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color w:val="auto"/>
        </w:rPr>
        <w:t>All employees who are customarily employed by us or one of our designated subsidiaries for more than hours per week and who we have employed for at least days are eligible to participate in the ESPP. However, any employee who owns 5 percent or more</w:t>
      </w:r>
    </w:p>
    <w:p>
      <w:pPr>
        <w:ind w:left="120" w:right="220"/>
        <w:spacing w:after="0" w:line="250" w:lineRule="auto"/>
        <w:rPr>
          <w:sz w:val="20"/>
          <w:szCs w:val="20"/>
          <w:color w:val="auto"/>
        </w:rPr>
      </w:pPr>
      <w:r>
        <w:rPr>
          <w:rFonts w:ascii="Arial" w:cs="Arial" w:eastAsia="Arial" w:hAnsi="Arial"/>
          <w:sz w:val="18"/>
          <w:szCs w:val="18"/>
          <w:color w:val="auto"/>
        </w:rPr>
        <w:t>of the total combined voting power or value of all classes of our stock will not be eligible to purchase shares of common stock under the ESPP.</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make one or more offerings each year to our employees to purchase shares under the ESPP. Offerings will usually begin on</w:t>
      </w:r>
    </w:p>
    <w:p>
      <w:pPr>
        <w:spacing w:after="0" w:line="14" w:lineRule="exact"/>
        <w:rPr>
          <w:sz w:val="20"/>
          <w:szCs w:val="20"/>
          <w:color w:val="auto"/>
        </w:rPr>
      </w:pPr>
    </w:p>
    <w:p>
      <w:pPr>
        <w:ind w:left="120" w:right="180"/>
        <w:spacing w:after="0" w:line="250" w:lineRule="auto"/>
        <w:rPr>
          <w:sz w:val="20"/>
          <w:szCs w:val="20"/>
          <w:color w:val="auto"/>
        </w:rPr>
      </w:pPr>
      <w:r>
        <w:rPr>
          <w:rFonts w:ascii="Arial" w:cs="Arial" w:eastAsia="Arial" w:hAnsi="Arial"/>
          <w:sz w:val="18"/>
          <w:szCs w:val="18"/>
          <w:color w:val="auto"/>
        </w:rPr>
        <w:t>each and and will continue for six-month periods, referred to as offering periods. Each eligible employee may elect to participate in any offering by submitting an enrollment form at least 15 business days before the applicable offering date</w:t>
      </w:r>
    </w:p>
    <w:p>
      <w:pPr>
        <w:spacing w:after="0" w:line="104"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Each employee who is a participant in the ESPP may purchase shares of our common stock by authorizing payroll deductions of up to 15 percent of his or her eligible compensation during an offering period. Unless the participating employee has previously withdrawn from the offering, his or her accumulated payroll deductions will be used to purchase shares of our common stock on the last business day of the offering period at a price equal to 85 percent of the fair market value of the shares of our common stock on the first business day or the last business day of the offering period, whichever is lower, provided that no more than a number of shares of common stock determined by dividing $25,000 by the fair market value of our common stock on the offering date of the offering (or a lesser number as established by the plan administrator in advance of the offering period) may be purchased by any one employee during each offering period. Under applicable tax rules, an employee may purchase no more than $25,000 worth of shares of our common stock, valued at the start of the purchase period, under the ESPP in any calendar year.</w:t>
      </w:r>
    </w:p>
    <w:p>
      <w:pPr>
        <w:spacing w:after="0" w:line="116"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The accumulated payroll deductions of any employee who is not a participant on the last day of an offering period will be refunded. An employee’s rights under the ESPP terminate upon voluntary withdrawal from the plan or when the employee ceases employment with us for any reason.</w:t>
      </w:r>
    </w:p>
    <w:p>
      <w:pPr>
        <w:spacing w:after="0" w:line="88"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The ESPP may be terminated or amended by our board of directors at any time. An amendment that increases the number of shares of our common stock authorized under the ESPP and certain other amendments require the approval of our stockholders.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Senior Executive Cash Incentive Bonus Plan</w:t>
      </w:r>
    </w:p>
    <w:p>
      <w:pPr>
        <w:spacing w:after="0" w:line="129"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On , 2023 our board of directors adopted the Senior Executive Cash Incentive Bonus Plan (the “Bonus Plan”). The Bonus Plan provides for annual cash bonus payments based upon the attainment of Company and individual performance targets established by our compensation committee. The payment targets will be related to financial and operational measures or objectives with respect to our Company (the “Corporate Performance Goals”), as well as individual performance objectives.</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080"/>
          </w:cols>
          <w:pgMar w:left="320" w:top="455" w:right="4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Our compensation committee may select Corporate Performance Goals from among the following: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our common stock; economic value-added; acquisitions or strategic transactions, including collaborations, joint ventures, or promotion arrangements; operating income (loss); return on capital assets, equity, or investment; stockholder returns; sales; net sales; return on sales; gross or net profit levels; productivity; expense efficiency; margins; operating efficiency; customer satisfaction; working capital; earnings (loss) per share of our common stock; bookings, new bookings, or renewals; sales or market shares; number of customers, number of new customers, or customer references; operating income and/or net annual recurring revenue; or any other performance goal as selected by the compensation committee, any of which may be measured in absolute terms, as compared to any incremental increase, in terms of growth, as compared to results of a peer group, against the market as a whole, compared to applicable market indices, and/or measured on a pre-tax or post-tax basis.</w:t>
      </w:r>
    </w:p>
    <w:p>
      <w:pPr>
        <w:spacing w:after="0" w:line="118"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but no later than 74 days after the end of the fiscal year in which such performance period ends.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080"/>
          </w:cols>
          <w:pgMar w:left="320" w:top="455" w:right="4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DIRECTOR COMPENSATION</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2022 Director Compensation Table</w:t>
      </w:r>
    </w:p>
    <w:p>
      <w:pPr>
        <w:spacing w:after="0" w:line="148"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The following table presents the total compensation paid by the Company to non-employee members of our board of managers during the fiscal year ended December 31, 2022. Other than as set forth in the table and described more fully below, we did not pay any compensation, make any equity awards or non-equity awards to, or pay any other compensation to any of the members of our board of managers in 2022 for their services as members of the board of managers. Dr. Thomas, our Chief Executive Officer, does not receive any compensation from the Company for his service on our board of managers. See the section titled “Executive Compensation” for more information on the compensation paid to or earned by Dr. Thomas as an employee for year ended December 31, 2022.</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5180" w:type="dxa"/>
            <w:vAlign w:val="bottom"/>
            <w:tcBorders>
              <w:top w:val="single" w:sz="8" w:color="auto"/>
            </w:tcBorders>
          </w:tcPr>
          <w:p>
            <w:pPr>
              <w:spacing w:after="0"/>
              <w:rPr>
                <w:sz w:val="17"/>
                <w:szCs w:val="17"/>
                <w:color w:val="auto"/>
              </w:rPr>
            </w:pPr>
          </w:p>
        </w:tc>
        <w:tc>
          <w:tcPr>
            <w:tcW w:w="4820" w:type="dxa"/>
            <w:vAlign w:val="bottom"/>
            <w:tcBorders>
              <w:top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Fees Earned</w:t>
            </w:r>
          </w:p>
        </w:tc>
        <w:tc>
          <w:tcPr>
            <w:tcW w:w="9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r>
      <w:tr>
        <w:trPr>
          <w:trHeight w:val="189"/>
        </w:trPr>
        <w:tc>
          <w:tcPr>
            <w:tcW w:w="5180" w:type="dxa"/>
            <w:vAlign w:val="bottom"/>
          </w:tcPr>
          <w:p>
            <w:pPr>
              <w:spacing w:after="0"/>
              <w:rPr>
                <w:sz w:val="16"/>
                <w:szCs w:val="16"/>
                <w:color w:val="auto"/>
              </w:rPr>
            </w:pPr>
          </w:p>
        </w:tc>
        <w:tc>
          <w:tcPr>
            <w:tcW w:w="4820" w:type="dxa"/>
            <w:vAlign w:val="bottom"/>
          </w:tcPr>
          <w:p>
            <w:pPr>
              <w:jc w:val="right"/>
              <w:ind w:right="233"/>
              <w:spacing w:after="0"/>
              <w:rPr>
                <w:sz w:val="20"/>
                <w:szCs w:val="20"/>
                <w:color w:val="auto"/>
              </w:rPr>
            </w:pPr>
            <w:r>
              <w:rPr>
                <w:rFonts w:ascii="Arial" w:cs="Arial" w:eastAsia="Arial" w:hAnsi="Arial"/>
                <w:sz w:val="16"/>
                <w:szCs w:val="16"/>
                <w:b w:val="1"/>
                <w:bCs w:val="1"/>
                <w:color w:val="auto"/>
              </w:rPr>
              <w:t>or Paid in</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5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482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Cash ($)</w:t>
            </w:r>
          </w:p>
        </w:tc>
        <w:tc>
          <w:tcPr>
            <w:tcW w:w="1020" w:type="dxa"/>
            <w:vAlign w:val="bottom"/>
            <w:tcBorders>
              <w:bottom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rPr>
              <w:t>Total ($)</w:t>
            </w: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Sebastián Bernales</w:t>
            </w:r>
          </w:p>
        </w:tc>
        <w:tc>
          <w:tcPr>
            <w:tcW w:w="4820" w:type="dxa"/>
            <w:vAlign w:val="bottom"/>
            <w:shd w:val="clear" w:color="auto" w:fill="CCEEFF"/>
          </w:tcPr>
          <w:p>
            <w:pPr>
              <w:jc w:val="right"/>
              <w:ind w:right="233"/>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Willard H. Dere(1)(2)</w:t>
            </w:r>
          </w:p>
        </w:tc>
        <w:tc>
          <w:tcPr>
            <w:tcW w:w="48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30,000</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Juergen Eckhardt</w:t>
            </w:r>
          </w:p>
        </w:tc>
        <w:tc>
          <w:tcPr>
            <w:tcW w:w="482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Santosh Palani</w:t>
            </w:r>
          </w:p>
        </w:tc>
        <w:tc>
          <w:tcPr>
            <w:tcW w:w="482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Risa Stack(1)</w:t>
            </w:r>
          </w:p>
        </w:tc>
        <w:tc>
          <w:tcPr>
            <w:tcW w:w="4820" w:type="dxa"/>
            <w:vAlign w:val="bottom"/>
            <w:tcBorders>
              <w:bottom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bl>
    <w:p>
      <w:pPr>
        <w:spacing w:after="0" w:line="82" w:lineRule="exact"/>
        <w:rPr>
          <w:sz w:val="20"/>
          <w:szCs w:val="20"/>
          <w:color w:val="auto"/>
        </w:rPr>
      </w:pPr>
    </w:p>
    <w:p>
      <w:pPr>
        <w:ind w:left="440" w:right="20" w:hanging="324"/>
        <w:spacing w:after="0" w:line="248" w:lineRule="auto"/>
        <w:tabs>
          <w:tab w:leader="none" w:pos="4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Dr. Dere and Dr. Stack each held 94,856 profits interests granted under the 2019 Plan as of December 31, 2022. None of our other non-employee directors held any equity awards as of December 31, 2022.</w:t>
      </w:r>
    </w:p>
    <w:p>
      <w:pPr>
        <w:ind w:left="440" w:right="460" w:hanging="324"/>
        <w:spacing w:after="0" w:line="261" w:lineRule="auto"/>
        <w:tabs>
          <w:tab w:leader="none" w:pos="4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We entered into an Independent Manager Offer Letter with Dr. Dere, pursuant to which he is eligible to receive cash compensation of $30,000 for each calendar year for his services to our board of managers.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Non-Employee Director Compensation Policy</w:t>
      </w:r>
    </w:p>
    <w:p>
      <w:pPr>
        <w:spacing w:after="0" w:line="148"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In connection with this offering, we intend to adopt a new non-employee director compensation policy that will become effective as of the completion of this offering and will be designed to enable us to attract and retain, on a long term basis, highly qualified non-employee directors.</w:t>
      </w:r>
    </w:p>
    <w:p>
      <w:pPr>
        <w:spacing w:after="0" w:line="88"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color w:val="auto"/>
        </w:rPr>
        <w:t>Under the policy, our non-employee directors will be eligible to receive cash retainers (which will be payable quarterly in arrears and prorated for partial years of service) and equity awards as set forth below:</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Retainer for Board Membership</w:t>
            </w:r>
          </w:p>
        </w:tc>
        <w:tc>
          <w:tcPr>
            <w:tcW w:w="2040" w:type="dxa"/>
            <w:vAlign w:val="bottom"/>
            <w:shd w:val="clear" w:color="auto" w:fill="CCEEFF"/>
          </w:tcPr>
          <w:p>
            <w:pPr>
              <w:spacing w:after="0"/>
              <w:rPr>
                <w:sz w:val="18"/>
                <w:szCs w:val="18"/>
                <w:color w:val="auto"/>
              </w:rPr>
            </w:pPr>
          </w:p>
        </w:tc>
      </w:tr>
      <w:tr>
        <w:trPr>
          <w:trHeight w:val="239"/>
        </w:trPr>
        <w:tc>
          <w:tcPr>
            <w:tcW w:w="8980" w:type="dxa"/>
            <w:vAlign w:val="bottom"/>
          </w:tcPr>
          <w:p>
            <w:pPr>
              <w:spacing w:after="0"/>
              <w:rPr>
                <w:sz w:val="20"/>
                <w:szCs w:val="20"/>
                <w:color w:val="auto"/>
              </w:rPr>
            </w:pPr>
            <w:r>
              <w:rPr>
                <w:rFonts w:ascii="Arial" w:cs="Arial" w:eastAsia="Arial" w:hAnsi="Arial"/>
                <w:sz w:val="18"/>
                <w:szCs w:val="18"/>
                <w:color w:val="auto"/>
              </w:rPr>
              <w:t>for general availability and participation in meetings and conference calls of our Board of Directors</w:t>
            </w:r>
          </w:p>
        </w:tc>
        <w:tc>
          <w:tcPr>
            <w:tcW w:w="2040" w:type="dxa"/>
            <w:vAlign w:val="bottom"/>
          </w:tcPr>
          <w:p>
            <w:pPr>
              <w:jc w:val="right"/>
              <w:ind w:right="650"/>
              <w:spacing w:after="0"/>
              <w:rPr>
                <w:sz w:val="20"/>
                <w:szCs w:val="20"/>
                <w:color w:val="auto"/>
              </w:rPr>
            </w:pPr>
            <w:r>
              <w:rPr>
                <w:rFonts w:ascii="Arial" w:cs="Arial" w:eastAsia="Arial" w:hAnsi="Arial"/>
                <w:sz w:val="18"/>
                <w:szCs w:val="18"/>
                <w:color w:val="auto"/>
              </w:rPr>
              <w:t>$</w:t>
            </w:r>
          </w:p>
        </w:tc>
      </w:tr>
      <w:tr>
        <w:trPr>
          <w:trHeight w:val="180"/>
        </w:trPr>
        <w:tc>
          <w:tcPr>
            <w:tcW w:w="898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Additional Annual Retainer for Committee Membership</w:t>
            </w:r>
          </w:p>
        </w:tc>
        <w:tc>
          <w:tcPr>
            <w:tcW w:w="2040" w:type="dxa"/>
            <w:vAlign w:val="bottom"/>
            <w:shd w:val="clear" w:color="auto" w:fill="CCEEFF"/>
          </w:tcPr>
          <w:p>
            <w:pPr>
              <w:spacing w:after="0"/>
              <w:rPr>
                <w:sz w:val="17"/>
                <w:szCs w:val="17"/>
                <w:color w:val="auto"/>
              </w:rPr>
            </w:pPr>
          </w:p>
        </w:tc>
      </w:tr>
      <w:tr>
        <w:trPr>
          <w:trHeight w:val="203"/>
        </w:trPr>
        <w:tc>
          <w:tcPr>
            <w:tcW w:w="8980" w:type="dxa"/>
            <w:vAlign w:val="bottom"/>
          </w:tcPr>
          <w:p>
            <w:pPr>
              <w:ind w:left="180"/>
              <w:spacing w:after="0" w:line="202" w:lineRule="exact"/>
              <w:rPr>
                <w:sz w:val="20"/>
                <w:szCs w:val="20"/>
                <w:color w:val="auto"/>
              </w:rPr>
            </w:pPr>
            <w:r>
              <w:rPr>
                <w:rFonts w:ascii="Arial" w:cs="Arial" w:eastAsia="Arial" w:hAnsi="Arial"/>
                <w:sz w:val="18"/>
                <w:szCs w:val="18"/>
                <w:color w:val="auto"/>
              </w:rPr>
              <w:t>Audit Committee Chairperson:</w:t>
            </w:r>
          </w:p>
        </w:tc>
        <w:tc>
          <w:tcPr>
            <w:tcW w:w="2040" w:type="dxa"/>
            <w:vAlign w:val="bottom"/>
          </w:tcPr>
          <w:p>
            <w:pPr>
              <w:jc w:val="right"/>
              <w:ind w:right="650"/>
              <w:spacing w:after="0" w:line="202" w:lineRule="exact"/>
              <w:rPr>
                <w:sz w:val="20"/>
                <w:szCs w:val="20"/>
                <w:color w:val="auto"/>
              </w:rPr>
            </w:pPr>
            <w:r>
              <w:rPr>
                <w:rFonts w:ascii="Arial" w:cs="Arial" w:eastAsia="Arial" w:hAnsi="Arial"/>
                <w:sz w:val="18"/>
                <w:szCs w:val="18"/>
                <w:color w:val="auto"/>
              </w:rPr>
              <w:t>$</w:t>
            </w:r>
          </w:p>
        </w:tc>
      </w:tr>
      <w:tr>
        <w:trPr>
          <w:trHeight w:val="203"/>
        </w:trPr>
        <w:tc>
          <w:tcPr>
            <w:tcW w:w="8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Audit Committee member (other than Chairperson):</w:t>
            </w:r>
          </w:p>
        </w:tc>
        <w:tc>
          <w:tcPr>
            <w:tcW w:w="2040" w:type="dxa"/>
            <w:vAlign w:val="bottom"/>
            <w:shd w:val="clear" w:color="auto" w:fill="CCEEFF"/>
          </w:tcPr>
          <w:p>
            <w:pPr>
              <w:jc w:val="right"/>
              <w:ind w:right="650"/>
              <w:spacing w:after="0" w:line="202" w:lineRule="exact"/>
              <w:rPr>
                <w:sz w:val="20"/>
                <w:szCs w:val="20"/>
                <w:color w:val="auto"/>
              </w:rPr>
            </w:pPr>
            <w:r>
              <w:rPr>
                <w:rFonts w:ascii="Arial" w:cs="Arial" w:eastAsia="Arial" w:hAnsi="Arial"/>
                <w:sz w:val="18"/>
                <w:szCs w:val="18"/>
                <w:color w:val="auto"/>
              </w:rPr>
              <w:t>$</w:t>
            </w:r>
          </w:p>
        </w:tc>
      </w:tr>
      <w:tr>
        <w:trPr>
          <w:trHeight w:val="203"/>
        </w:trPr>
        <w:tc>
          <w:tcPr>
            <w:tcW w:w="8980" w:type="dxa"/>
            <w:vAlign w:val="bottom"/>
          </w:tcPr>
          <w:p>
            <w:pPr>
              <w:ind w:left="180"/>
              <w:spacing w:after="0" w:line="202" w:lineRule="exact"/>
              <w:rPr>
                <w:sz w:val="20"/>
                <w:szCs w:val="20"/>
                <w:color w:val="auto"/>
              </w:rPr>
            </w:pPr>
            <w:r>
              <w:rPr>
                <w:rFonts w:ascii="Arial" w:cs="Arial" w:eastAsia="Arial" w:hAnsi="Arial"/>
                <w:sz w:val="18"/>
                <w:szCs w:val="18"/>
                <w:color w:val="auto"/>
              </w:rPr>
              <w:t>Compensation Committee Chairperson:</w:t>
            </w:r>
          </w:p>
        </w:tc>
        <w:tc>
          <w:tcPr>
            <w:tcW w:w="2040" w:type="dxa"/>
            <w:vAlign w:val="bottom"/>
          </w:tcPr>
          <w:p>
            <w:pPr>
              <w:jc w:val="right"/>
              <w:ind w:right="650"/>
              <w:spacing w:after="0" w:line="202" w:lineRule="exact"/>
              <w:rPr>
                <w:sz w:val="20"/>
                <w:szCs w:val="20"/>
                <w:color w:val="auto"/>
              </w:rPr>
            </w:pPr>
            <w:r>
              <w:rPr>
                <w:rFonts w:ascii="Arial" w:cs="Arial" w:eastAsia="Arial" w:hAnsi="Arial"/>
                <w:sz w:val="18"/>
                <w:szCs w:val="18"/>
                <w:color w:val="auto"/>
              </w:rPr>
              <w:t>$</w:t>
            </w:r>
          </w:p>
        </w:tc>
      </w:tr>
      <w:tr>
        <w:trPr>
          <w:trHeight w:val="203"/>
        </w:trPr>
        <w:tc>
          <w:tcPr>
            <w:tcW w:w="8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 Committee member (other than Chairperson):</w:t>
            </w:r>
          </w:p>
        </w:tc>
        <w:tc>
          <w:tcPr>
            <w:tcW w:w="2040" w:type="dxa"/>
            <w:vAlign w:val="bottom"/>
            <w:shd w:val="clear" w:color="auto" w:fill="CCEEFF"/>
          </w:tcPr>
          <w:p>
            <w:pPr>
              <w:jc w:val="right"/>
              <w:ind w:right="650"/>
              <w:spacing w:after="0" w:line="202" w:lineRule="exact"/>
              <w:rPr>
                <w:sz w:val="20"/>
                <w:szCs w:val="20"/>
                <w:color w:val="auto"/>
              </w:rPr>
            </w:pPr>
            <w:r>
              <w:rPr>
                <w:rFonts w:ascii="Arial" w:cs="Arial" w:eastAsia="Arial" w:hAnsi="Arial"/>
                <w:sz w:val="18"/>
                <w:szCs w:val="18"/>
                <w:color w:val="auto"/>
              </w:rPr>
              <w:t>$</w:t>
            </w:r>
          </w:p>
        </w:tc>
      </w:tr>
      <w:tr>
        <w:trPr>
          <w:trHeight w:val="203"/>
        </w:trPr>
        <w:tc>
          <w:tcPr>
            <w:tcW w:w="8980" w:type="dxa"/>
            <w:vAlign w:val="bottom"/>
          </w:tcPr>
          <w:p>
            <w:pPr>
              <w:ind w:left="180"/>
              <w:spacing w:after="0" w:line="202" w:lineRule="exact"/>
              <w:rPr>
                <w:sz w:val="20"/>
                <w:szCs w:val="20"/>
                <w:color w:val="auto"/>
              </w:rPr>
            </w:pPr>
            <w:r>
              <w:rPr>
                <w:rFonts w:ascii="Arial" w:cs="Arial" w:eastAsia="Arial" w:hAnsi="Arial"/>
                <w:sz w:val="18"/>
                <w:szCs w:val="18"/>
                <w:color w:val="auto"/>
              </w:rPr>
              <w:t>Nominating and Corporate Governance Committee Chairperson:</w:t>
            </w:r>
          </w:p>
        </w:tc>
        <w:tc>
          <w:tcPr>
            <w:tcW w:w="2040" w:type="dxa"/>
            <w:vAlign w:val="bottom"/>
          </w:tcPr>
          <w:p>
            <w:pPr>
              <w:jc w:val="right"/>
              <w:ind w:right="650"/>
              <w:spacing w:after="0" w:line="202" w:lineRule="exact"/>
              <w:rPr>
                <w:sz w:val="20"/>
                <w:szCs w:val="20"/>
                <w:color w:val="auto"/>
              </w:rPr>
            </w:pPr>
            <w:r>
              <w:rPr>
                <w:rFonts w:ascii="Arial" w:cs="Arial" w:eastAsia="Arial" w:hAnsi="Arial"/>
                <w:sz w:val="18"/>
                <w:szCs w:val="18"/>
                <w:color w:val="auto"/>
              </w:rPr>
              <w:t>$</w:t>
            </w:r>
          </w:p>
        </w:tc>
      </w:tr>
      <w:tr>
        <w:trPr>
          <w:trHeight w:val="203"/>
        </w:trPr>
        <w:tc>
          <w:tcPr>
            <w:tcW w:w="8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Nominating and Corporate Governance Committee member (other than Chairperson):</w:t>
            </w:r>
          </w:p>
        </w:tc>
        <w:tc>
          <w:tcPr>
            <w:tcW w:w="2040" w:type="dxa"/>
            <w:vAlign w:val="bottom"/>
            <w:shd w:val="clear" w:color="auto" w:fill="CCEEFF"/>
          </w:tcPr>
          <w:p>
            <w:pPr>
              <w:jc w:val="right"/>
              <w:ind w:right="650"/>
              <w:spacing w:after="0" w:line="202" w:lineRule="exact"/>
              <w:rPr>
                <w:sz w:val="20"/>
                <w:szCs w:val="20"/>
                <w:color w:val="auto"/>
              </w:rPr>
            </w:pPr>
            <w:r>
              <w:rPr>
                <w:rFonts w:ascii="Arial" w:cs="Arial" w:eastAsia="Arial" w:hAnsi="Arial"/>
                <w:sz w:val="18"/>
                <w:szCs w:val="18"/>
                <w:color w:val="auto"/>
              </w:rPr>
              <w:t>$</w:t>
            </w:r>
          </w:p>
        </w:tc>
      </w:tr>
      <w:tr>
        <w:trPr>
          <w:trHeight w:val="203"/>
        </w:trPr>
        <w:tc>
          <w:tcPr>
            <w:tcW w:w="8980" w:type="dxa"/>
            <w:vAlign w:val="bottom"/>
          </w:tcPr>
          <w:p>
            <w:pPr>
              <w:ind w:left="180"/>
              <w:spacing w:after="0" w:line="202" w:lineRule="exact"/>
              <w:rPr>
                <w:sz w:val="20"/>
                <w:szCs w:val="20"/>
                <w:color w:val="auto"/>
              </w:rPr>
            </w:pPr>
            <w:r>
              <w:rPr>
                <w:rFonts w:ascii="Arial" w:cs="Arial" w:eastAsia="Arial" w:hAnsi="Arial"/>
                <w:sz w:val="18"/>
                <w:szCs w:val="18"/>
                <w:color w:val="auto"/>
              </w:rPr>
              <w:t>Science &amp; Technology Committee Chairperson:</w:t>
            </w:r>
          </w:p>
        </w:tc>
        <w:tc>
          <w:tcPr>
            <w:tcW w:w="2040" w:type="dxa"/>
            <w:vAlign w:val="bottom"/>
          </w:tcPr>
          <w:p>
            <w:pPr>
              <w:jc w:val="right"/>
              <w:ind w:right="650"/>
              <w:spacing w:after="0" w:line="202" w:lineRule="exact"/>
              <w:rPr>
                <w:sz w:val="20"/>
                <w:szCs w:val="20"/>
                <w:color w:val="auto"/>
              </w:rPr>
            </w:pPr>
            <w:r>
              <w:rPr>
                <w:rFonts w:ascii="Arial" w:cs="Arial" w:eastAsia="Arial" w:hAnsi="Arial"/>
                <w:sz w:val="18"/>
                <w:szCs w:val="18"/>
                <w:color w:val="auto"/>
              </w:rPr>
              <w:t>$</w:t>
            </w:r>
          </w:p>
        </w:tc>
      </w:tr>
      <w:tr>
        <w:trPr>
          <w:trHeight w:val="203"/>
        </w:trPr>
        <w:tc>
          <w:tcPr>
            <w:tcW w:w="8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Science &amp; Technology Committee member (other than Chairperson):</w:t>
            </w:r>
          </w:p>
        </w:tc>
        <w:tc>
          <w:tcPr>
            <w:tcW w:w="2040" w:type="dxa"/>
            <w:vAlign w:val="bottom"/>
            <w:shd w:val="clear" w:color="auto" w:fill="CCEEFF"/>
          </w:tcPr>
          <w:p>
            <w:pPr>
              <w:jc w:val="right"/>
              <w:ind w:right="650"/>
              <w:spacing w:after="0" w:line="202" w:lineRule="exact"/>
              <w:rPr>
                <w:sz w:val="20"/>
                <w:szCs w:val="20"/>
                <w:color w:val="auto"/>
              </w:rPr>
            </w:pPr>
            <w:r>
              <w:rPr>
                <w:rFonts w:ascii="Arial" w:cs="Arial" w:eastAsia="Arial" w:hAnsi="Arial"/>
                <w:sz w:val="18"/>
                <w:szCs w:val="18"/>
                <w:color w:val="auto"/>
              </w:rPr>
              <w:t>$</w:t>
            </w:r>
          </w:p>
        </w:tc>
      </w:tr>
      <w:tr>
        <w:trPr>
          <w:trHeight w:val="363"/>
        </w:trPr>
        <w:tc>
          <w:tcPr>
            <w:tcW w:w="8980" w:type="dxa"/>
            <w:vAlign w:val="bottom"/>
          </w:tcPr>
          <w:p>
            <w:pPr>
              <w:spacing w:after="0"/>
              <w:rPr>
                <w:sz w:val="20"/>
                <w:szCs w:val="20"/>
                <w:color w:val="auto"/>
              </w:rPr>
            </w:pPr>
            <w:r>
              <w:rPr>
                <w:rFonts w:ascii="Arial" w:cs="Arial" w:eastAsia="Arial" w:hAnsi="Arial"/>
                <w:sz w:val="18"/>
                <w:szCs w:val="18"/>
                <w:b w:val="1"/>
                <w:bCs w:val="1"/>
                <w:color w:val="auto"/>
              </w:rPr>
              <w:t>Additional Retainer for Non-Executive Chairperson of the Board</w:t>
            </w:r>
            <w:r>
              <w:rPr>
                <w:rFonts w:ascii="Arial" w:cs="Arial" w:eastAsia="Arial" w:hAnsi="Arial"/>
                <w:sz w:val="18"/>
                <w:szCs w:val="18"/>
                <w:color w:val="auto"/>
              </w:rPr>
              <w:t>:</w:t>
            </w:r>
          </w:p>
        </w:tc>
        <w:tc>
          <w:tcPr>
            <w:tcW w:w="2040" w:type="dxa"/>
            <w:vAlign w:val="bottom"/>
          </w:tcPr>
          <w:p>
            <w:pPr>
              <w:spacing w:after="0"/>
              <w:rPr>
                <w:sz w:val="24"/>
                <w:szCs w:val="24"/>
                <w:color w:val="auto"/>
              </w:rPr>
            </w:pPr>
          </w:p>
        </w:tc>
      </w:tr>
    </w:tbl>
    <w:p>
      <w:pPr>
        <w:spacing w:after="0" w:line="104"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In addition, our policy will provide that, upon initial election or appointment to our board of directors, each new non-employee director will be granted a one-time grant of a non-statutory stock option to purchase shares</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tabs>
          <w:tab w:leader="none" w:pos="3380" w:val="left"/>
        </w:tabs>
        <w:rPr>
          <w:sz w:val="20"/>
          <w:szCs w:val="20"/>
          <w:color w:val="auto"/>
        </w:rPr>
      </w:pPr>
      <w:r>
        <w:rPr>
          <w:rFonts w:ascii="Arial" w:cs="Arial" w:eastAsia="Arial" w:hAnsi="Arial"/>
          <w:sz w:val="18"/>
          <w:szCs w:val="18"/>
          <w:color w:val="auto"/>
        </w:rPr>
        <w:t>of our common stock equivalent to $</w:t>
      </w:r>
      <w:r>
        <w:rPr>
          <w:sz w:val="20"/>
          <w:szCs w:val="20"/>
          <w:color w:val="auto"/>
        </w:rPr>
        <w:tab/>
      </w:r>
      <w:r>
        <w:rPr>
          <w:rFonts w:ascii="Arial" w:cs="Arial" w:eastAsia="Arial" w:hAnsi="Arial"/>
          <w:sz w:val="18"/>
          <w:szCs w:val="18"/>
          <w:color w:val="auto"/>
        </w:rPr>
        <w:t>in value on the date of such director’s election or appointment to the board of directors (the</w:t>
      </w:r>
    </w:p>
    <w:p>
      <w:pPr>
        <w:spacing w:after="0" w:line="14" w:lineRule="exact"/>
        <w:rPr>
          <w:sz w:val="20"/>
          <w:szCs w:val="20"/>
          <w:color w:val="auto"/>
        </w:rPr>
      </w:pPr>
    </w:p>
    <w:p>
      <w:pPr>
        <w:jc w:val="both"/>
        <w:ind w:left="120" w:right="80"/>
        <w:spacing w:after="0" w:line="234" w:lineRule="auto"/>
        <w:rPr>
          <w:sz w:val="20"/>
          <w:szCs w:val="20"/>
          <w:color w:val="auto"/>
        </w:rPr>
      </w:pPr>
      <w:r>
        <w:rPr>
          <w:rFonts w:ascii="Arial" w:cs="Arial" w:eastAsia="Arial" w:hAnsi="Arial"/>
          <w:sz w:val="18"/>
          <w:szCs w:val="18"/>
          <w:color w:val="auto"/>
        </w:rPr>
        <w:t>“Director Initial Grant”). The Director Initial Grant will vest , subject to the non-employee director’s continued services to the us. On the date of each annual meeting of stockholders of our company following the completion of this offering, each non-employee director who will continue as a non-employee director following such meeting will be granted an annual award of a non-statutory stock option to</w:t>
      </w:r>
    </w:p>
    <w:p>
      <w:pPr>
        <w:spacing w:after="0" w:line="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purchase shares of common stock equivalent to $ in value (the “Director Annual Grant”). The Director Annual Grant will vest in full on the earlier of the one-year anniversary of the grant date or on the date of our next annual meeting of stockholders, subject to the non-employee director’s continued services to us. Such awards are subject to full acceleration vesting upon the sale of our company.</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aggregate amount of compensation, including both equity compensation and cash compensation, paid to any non-employee director</w:t>
      </w:r>
    </w:p>
    <w:p>
      <w:pPr>
        <w:spacing w:after="0" w:line="14" w:lineRule="exact"/>
        <w:rPr>
          <w:sz w:val="20"/>
          <w:szCs w:val="20"/>
          <w:color w:val="auto"/>
        </w:rPr>
      </w:pPr>
    </w:p>
    <w:p>
      <w:pPr>
        <w:ind w:left="120" w:right="160"/>
        <w:spacing w:after="0" w:line="250" w:lineRule="auto"/>
        <w:rPr>
          <w:sz w:val="20"/>
          <w:szCs w:val="20"/>
          <w:color w:val="auto"/>
        </w:rPr>
      </w:pPr>
      <w:r>
        <w:rPr>
          <w:rFonts w:ascii="Arial" w:cs="Arial" w:eastAsia="Arial" w:hAnsi="Arial"/>
          <w:sz w:val="18"/>
          <w:szCs w:val="18"/>
          <w:color w:val="auto"/>
        </w:rPr>
        <w:t>for service as a non-employee director in a calendar year period will not exceed $ in the first calendar year such individual becomes a non-employee director and $ in any other calendar year.</w:t>
      </w:r>
    </w:p>
    <w:p>
      <w:pPr>
        <w:spacing w:after="0" w:line="104"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We will reimburse all reasonable out-of-pocket expenses incurred by directors for their attendance at meetings of our board of directors or any committee thereof.</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Employee directors will receive no additional compensation for their service as a director.</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080"/>
          </w:cols>
          <w:pgMar w:left="320" w:top="455" w:right="4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CERTAIN RELATIONSHIPS AND RELATED PERSON TRANSACTIONS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description of transactions or series of transactions since January 1, 2020, to which we were or will be a party, in which:</w:t>
      </w:r>
    </w:p>
    <w:p>
      <w:pPr>
        <w:spacing w:after="0" w:line="144" w:lineRule="exact"/>
        <w:rPr>
          <w:sz w:val="20"/>
          <w:szCs w:val="20"/>
          <w:color w:val="auto"/>
        </w:rPr>
      </w:pPr>
    </w:p>
    <w:p>
      <w:pPr>
        <w:ind w:left="340" w:hanging="224"/>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amount involved in the transaction exceeds, or will exceed, $120,000; and</w:t>
      </w:r>
    </w:p>
    <w:p>
      <w:pPr>
        <w:spacing w:after="0" w:line="144" w:lineRule="exact"/>
        <w:rPr>
          <w:rFonts w:ascii="Arial" w:cs="Arial" w:eastAsia="Arial" w:hAnsi="Arial"/>
          <w:sz w:val="18"/>
          <w:szCs w:val="18"/>
          <w:color w:val="auto"/>
        </w:rPr>
      </w:pPr>
    </w:p>
    <w:p>
      <w:pPr>
        <w:ind w:left="340" w:right="720" w:hanging="224"/>
        <w:spacing w:after="0" w:line="271"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which any of our executive officers, directors or holder of five percent or more of any class of our capital stock, including their immediate family members or affiliated entities, had or will have a direct or indirect material interest.</w:t>
      </w:r>
    </w:p>
    <w:p>
      <w:pPr>
        <w:spacing w:after="0" w:line="86" w:lineRule="exact"/>
        <w:rPr>
          <w:sz w:val="20"/>
          <w:szCs w:val="20"/>
          <w:color w:val="auto"/>
        </w:rPr>
      </w:pPr>
    </w:p>
    <w:p>
      <w:pPr>
        <w:ind w:left="120" w:right="720"/>
        <w:spacing w:after="0" w:line="271" w:lineRule="auto"/>
        <w:rPr>
          <w:sz w:val="20"/>
          <w:szCs w:val="20"/>
          <w:color w:val="auto"/>
        </w:rPr>
      </w:pPr>
      <w:r>
        <w:rPr>
          <w:rFonts w:ascii="Arial" w:cs="Arial" w:eastAsia="Arial" w:hAnsi="Arial"/>
          <w:sz w:val="18"/>
          <w:szCs w:val="18"/>
          <w:color w:val="auto"/>
        </w:rPr>
        <w:t>Compensation arrangements for our named executive officers and our directors are described elsewhere in this prospectus under “Executive Compensation” and “Director Compensation.”</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Series A-4 and Series A-5 Preferred Unit Financings</w:t>
      </w:r>
    </w:p>
    <w:p>
      <w:pPr>
        <w:spacing w:after="0" w:line="148" w:lineRule="exact"/>
        <w:rPr>
          <w:sz w:val="20"/>
          <w:szCs w:val="20"/>
          <w:color w:val="auto"/>
        </w:rPr>
      </w:pPr>
    </w:p>
    <w:p>
      <w:pPr>
        <w:ind w:left="120" w:right="420"/>
        <w:spacing w:after="0" w:line="244" w:lineRule="auto"/>
        <w:rPr>
          <w:sz w:val="20"/>
          <w:szCs w:val="20"/>
          <w:color w:val="auto"/>
        </w:rPr>
      </w:pPr>
      <w:r>
        <w:rPr>
          <w:rFonts w:ascii="Arial" w:cs="Arial" w:eastAsia="Arial" w:hAnsi="Arial"/>
          <w:sz w:val="18"/>
          <w:szCs w:val="18"/>
          <w:color w:val="auto"/>
        </w:rPr>
        <w:t>From 2020 to 2021, we sold an aggregate of 9,861,297 Series A-4 and Series A-5 preferred units in multiple closings, consisting of (i) 8,280,360 Series A-4 preferred units sold at a purchase price of $4.84875 per unit for an aggregate amount of $40.1 million and (ii) 1,580,937 Series A-5 preferred units sold at a purchase price of $6.32536 per unit for an aggregate amount of $10.0 million, for total aggregate proceeds of $50.1 million. The following table summarizes purchases of our Series A-4 and Series A-5 preferred units as described above by related persons:</w:t>
      </w:r>
    </w:p>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4640" w:type="dxa"/>
            <w:vAlign w:val="bottom"/>
            <w:tcBorders>
              <w:top w:val="single" w:sz="8" w:color="auto"/>
            </w:tcBorders>
          </w:tcPr>
          <w:p>
            <w:pPr>
              <w:spacing w:after="0"/>
              <w:rPr>
                <w:sz w:val="17"/>
                <w:szCs w:val="17"/>
                <w:color w:val="auto"/>
              </w:rPr>
            </w:pPr>
          </w:p>
        </w:tc>
        <w:tc>
          <w:tcPr>
            <w:tcW w:w="4640" w:type="dxa"/>
            <w:vAlign w:val="bottom"/>
            <w:tcBorders>
              <w:top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Numbers of Series A-4/Series A-5</w:t>
            </w:r>
          </w:p>
        </w:tc>
        <w:tc>
          <w:tcPr>
            <w:tcW w:w="17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Total purchase</w:t>
            </w:r>
          </w:p>
        </w:tc>
      </w:tr>
      <w:tr>
        <w:trPr>
          <w:trHeight w:val="217"/>
        </w:trPr>
        <w:tc>
          <w:tcPr>
            <w:tcW w:w="4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Stockholder</w:t>
            </w:r>
          </w:p>
        </w:tc>
        <w:tc>
          <w:tcPr>
            <w:tcW w:w="46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preferred units</w:t>
            </w:r>
          </w:p>
        </w:tc>
        <w:tc>
          <w:tcPr>
            <w:tcW w:w="1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price</w:t>
            </w:r>
          </w:p>
        </w:tc>
      </w:tr>
      <w:tr>
        <w:trPr>
          <w:trHeight w:val="196"/>
        </w:trPr>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Bayer HealthCare LLC(1)</w:t>
            </w:r>
          </w:p>
        </w:tc>
        <w:tc>
          <w:tcPr>
            <w:tcW w:w="4640" w:type="dxa"/>
            <w:vAlign w:val="bottom"/>
            <w:shd w:val="clear" w:color="auto" w:fill="CCEEFF"/>
          </w:tcPr>
          <w:p>
            <w:pPr>
              <w:jc w:val="right"/>
              <w:ind w:right="453"/>
              <w:spacing w:after="0" w:line="196" w:lineRule="exact"/>
              <w:rPr>
                <w:sz w:val="20"/>
                <w:szCs w:val="20"/>
                <w:color w:val="auto"/>
              </w:rPr>
            </w:pPr>
            <w:r>
              <w:rPr>
                <w:rFonts w:ascii="Arial" w:cs="Arial" w:eastAsia="Arial" w:hAnsi="Arial"/>
                <w:sz w:val="18"/>
                <w:szCs w:val="18"/>
                <w:color w:val="auto"/>
              </w:rPr>
              <w:t>2,062,387</w:t>
            </w:r>
          </w:p>
        </w:tc>
        <w:tc>
          <w:tcPr>
            <w:tcW w:w="1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$9,999,998.97</w:t>
            </w: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Humboldt Fund I, LP(2)</w:t>
            </w:r>
          </w:p>
        </w:tc>
        <w:tc>
          <w:tcPr>
            <w:tcW w:w="4640" w:type="dxa"/>
            <w:vAlign w:val="bottom"/>
          </w:tcPr>
          <w:p>
            <w:pPr>
              <w:jc w:val="right"/>
              <w:ind w:right="453"/>
              <w:spacing w:after="0" w:line="202" w:lineRule="exact"/>
              <w:rPr>
                <w:sz w:val="20"/>
                <w:szCs w:val="20"/>
                <w:color w:val="auto"/>
              </w:rPr>
            </w:pPr>
            <w:r>
              <w:rPr>
                <w:rFonts w:ascii="Arial" w:cs="Arial" w:eastAsia="Arial" w:hAnsi="Arial"/>
                <w:sz w:val="18"/>
                <w:szCs w:val="18"/>
                <w:color w:val="auto"/>
              </w:rPr>
              <w:t>2,062,387</w:t>
            </w:r>
          </w:p>
        </w:tc>
        <w:tc>
          <w:tcPr>
            <w:tcW w:w="1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$9,999,998.97</w:t>
            </w:r>
          </w:p>
        </w:tc>
      </w:tr>
      <w:tr>
        <w:trPr>
          <w:trHeight w:val="203"/>
        </w:trPr>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RA Capital(3)</w:t>
            </w:r>
          </w:p>
        </w:tc>
        <w:tc>
          <w:tcPr>
            <w:tcW w:w="4640" w:type="dxa"/>
            <w:vAlign w:val="bottom"/>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1,580,937</w:t>
            </w:r>
          </w:p>
        </w:tc>
        <w:tc>
          <w:tcPr>
            <w:tcW w:w="1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$9,999,995.67</w:t>
            </w: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Sake Holdings LLC(4)</w:t>
            </w:r>
          </w:p>
        </w:tc>
        <w:tc>
          <w:tcPr>
            <w:tcW w:w="4640" w:type="dxa"/>
            <w:vAlign w:val="bottom"/>
          </w:tcPr>
          <w:p>
            <w:pPr>
              <w:jc w:val="right"/>
              <w:ind w:right="453"/>
              <w:spacing w:after="0" w:line="202" w:lineRule="exact"/>
              <w:rPr>
                <w:sz w:val="20"/>
                <w:szCs w:val="20"/>
                <w:color w:val="auto"/>
              </w:rPr>
            </w:pPr>
            <w:r>
              <w:rPr>
                <w:rFonts w:ascii="Arial" w:cs="Arial" w:eastAsia="Arial" w:hAnsi="Arial"/>
                <w:sz w:val="18"/>
                <w:szCs w:val="18"/>
                <w:color w:val="auto"/>
              </w:rPr>
              <w:t>929,067</w:t>
            </w:r>
          </w:p>
        </w:tc>
        <w:tc>
          <w:tcPr>
            <w:tcW w:w="1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$4,504,813.62</w:t>
            </w:r>
          </w:p>
        </w:tc>
      </w:tr>
      <w:tr>
        <w:trPr>
          <w:trHeight w:val="203"/>
        </w:trPr>
        <w:tc>
          <w:tcPr>
            <w:tcW w:w="46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Sozo Ventures(5)</w:t>
            </w:r>
          </w:p>
        </w:tc>
        <w:tc>
          <w:tcPr>
            <w:tcW w:w="4640" w:type="dxa"/>
            <w:vAlign w:val="bottom"/>
            <w:tcBorders>
              <w:bottom w:val="single" w:sz="8" w:color="auto"/>
            </w:tcBorders>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710,907</w:t>
            </w:r>
          </w:p>
        </w:tc>
        <w:tc>
          <w:tcPr>
            <w:tcW w:w="1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$3,447,010.33</w:t>
            </w:r>
          </w:p>
        </w:tc>
        <w:tc>
          <w:tcPr>
            <w:tcW w:w="60" w:type="dxa"/>
            <w:vAlign w:val="bottom"/>
            <w:shd w:val="clear" w:color="auto" w:fill="CCEEFF"/>
          </w:tcPr>
          <w:p>
            <w:pPr>
              <w:spacing w:after="0"/>
              <w:rPr>
                <w:sz w:val="17"/>
                <w:szCs w:val="17"/>
                <w:color w:val="auto"/>
              </w:rPr>
            </w:pPr>
          </w:p>
        </w:tc>
      </w:tr>
    </w:tbl>
    <w:p>
      <w:pPr>
        <w:spacing w:after="0" w:line="76" w:lineRule="exact"/>
        <w:rPr>
          <w:sz w:val="20"/>
          <w:szCs w:val="20"/>
          <w:color w:val="auto"/>
        </w:rPr>
      </w:pPr>
    </w:p>
    <w:p>
      <w:pPr>
        <w:ind w:left="540" w:right="320" w:hanging="424"/>
        <w:spacing w:after="0" w:line="245"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Juergen Eckhardt, a manager on our board of managers, is an affiliate of Bayer Consumer Care AG, which is an affiliate of Bayer HealthCare LLC. Bayer HealthCare LLC holds more than 5 percent of our voting securities.</w:t>
      </w:r>
    </w:p>
    <w:p>
      <w:pPr>
        <w:ind w:left="540" w:right="80" w:hanging="424"/>
        <w:spacing w:after="0" w:line="234"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Sebastián Bernales, a manager on our board of managers, is an affiliate of Humboldt Fund. Humboldt Fund I, LP is an affiliated fund of Humboldt Fund. Humboldt Fund I, LP holds more than 5 percent of our voting securities.</w:t>
      </w:r>
    </w:p>
    <w:p>
      <w:pPr>
        <w:spacing w:after="0" w:line="1" w:lineRule="exact"/>
        <w:rPr>
          <w:rFonts w:ascii="Arial" w:cs="Arial" w:eastAsia="Arial" w:hAnsi="Arial"/>
          <w:sz w:val="18"/>
          <w:szCs w:val="18"/>
          <w:color w:val="auto"/>
        </w:rPr>
      </w:pPr>
    </w:p>
    <w:p>
      <w:pPr>
        <w:ind w:left="540" w:right="180" w:hanging="424"/>
        <w:spacing w:after="0" w:line="234"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Represents 1,343,796 Series A-5 preferred units purchased by RA Capital Healthcare Fund, L.P. and 237,141 Series A-5 preferred units purchased by RA Capital Nexus Fund II, L.P. Entities affiliated with RA Capital collectively hold more than 5 percent of our voting securities.</w:t>
      </w:r>
    </w:p>
    <w:p>
      <w:pPr>
        <w:spacing w:after="0" w:line="2" w:lineRule="exact"/>
        <w:rPr>
          <w:rFonts w:ascii="Arial" w:cs="Arial" w:eastAsia="Arial" w:hAnsi="Arial"/>
          <w:sz w:val="18"/>
          <w:szCs w:val="18"/>
          <w:color w:val="auto"/>
        </w:rPr>
      </w:pPr>
    </w:p>
    <w:p>
      <w:pPr>
        <w:ind w:left="540" w:right="80" w:hanging="424"/>
        <w:spacing w:after="0" w:line="234"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Sebastián Bernales, a manager on our board of managers, is an affiliate of Sake Holdings LLC. Sake Holdings LLC holds more than 5 percent of our voting securities.</w:t>
      </w:r>
    </w:p>
    <w:p>
      <w:pPr>
        <w:spacing w:after="0" w:line="1" w:lineRule="exact"/>
        <w:rPr>
          <w:rFonts w:ascii="Arial" w:cs="Arial" w:eastAsia="Arial" w:hAnsi="Arial"/>
          <w:sz w:val="18"/>
          <w:szCs w:val="18"/>
          <w:color w:val="auto"/>
        </w:rPr>
      </w:pPr>
    </w:p>
    <w:p>
      <w:pPr>
        <w:ind w:left="540" w:right="240" w:hanging="424"/>
        <w:spacing w:after="0" w:line="242"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Represents 319,908 Series A-4 preferred units purchased by Sozo Ventures – Truebridge Fund II, L.P. and 390,999 Series A-4 preferred units purchased by Sozo Ventures II-S, L.P. Entities affiliated with Sozo Ventures collectively hold more than 5 percent of our voting securities.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Series B Preferred Unit Financing</w:t>
      </w:r>
    </w:p>
    <w:p>
      <w:pPr>
        <w:spacing w:after="0" w:line="148"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In 2022 and 2023, we sold an aggregate of 22,162,743 Series B and Series B-1 preferred units in multiple closings, consisting of (i) 15,054,263 Series B preferred units, which includes (a) 12,446,876 Series B preferred units sold at a purchase price of $11.64951 per unit and (b) 2,607,387 Series B preferred units which converted pursuant to a promissory note with a principal amount of $30.0 million and accrued interest of $0.4 million</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8"/>
          <w:szCs w:val="18"/>
          <w:color w:val="auto"/>
        </w:rPr>
        <w:t>between the Company and ModernaTx, Inc., for an aggregate amount of $175.4 million and (ii) 7,108,480 Series B-1 preferred units sold at a purchase price of $14.06770 per unit for an aggregate amount of $100.0 million, for total aggregate proceeds of $275.4 million. The following table summarizes purchases of our Series B and Series B-1 preferred units by related persons:</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4740" w:type="dxa"/>
            <w:vAlign w:val="bottom"/>
            <w:tcBorders>
              <w:top w:val="single" w:sz="8" w:color="auto"/>
            </w:tcBorders>
          </w:tcPr>
          <w:p>
            <w:pPr>
              <w:spacing w:after="0"/>
              <w:rPr>
                <w:sz w:val="17"/>
                <w:szCs w:val="17"/>
                <w:color w:val="auto"/>
              </w:rPr>
            </w:pPr>
          </w:p>
        </w:tc>
        <w:tc>
          <w:tcPr>
            <w:tcW w:w="4500" w:type="dxa"/>
            <w:vAlign w:val="bottom"/>
            <w:tcBorders>
              <w:top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Numbers of Series B/Series B-1</w:t>
            </w:r>
          </w:p>
        </w:tc>
        <w:tc>
          <w:tcPr>
            <w:tcW w:w="17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Total purchase</w:t>
            </w:r>
          </w:p>
        </w:tc>
      </w:tr>
      <w:tr>
        <w:trPr>
          <w:trHeight w:val="217"/>
        </w:trPr>
        <w:tc>
          <w:tcPr>
            <w:tcW w:w="4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Stockholder</w:t>
            </w:r>
          </w:p>
        </w:tc>
        <w:tc>
          <w:tcPr>
            <w:tcW w:w="45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preferred units</w:t>
            </w:r>
          </w:p>
        </w:tc>
        <w:tc>
          <w:tcPr>
            <w:tcW w:w="1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price</w:t>
            </w:r>
          </w:p>
        </w:tc>
      </w:tr>
      <w:tr>
        <w:trPr>
          <w:trHeight w:val="196"/>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ModernaTX, Inc.(1)</w:t>
            </w:r>
          </w:p>
        </w:tc>
        <w:tc>
          <w:tcPr>
            <w:tcW w:w="4500" w:type="dxa"/>
            <w:vAlign w:val="bottom"/>
            <w:shd w:val="clear" w:color="auto" w:fill="CCEEFF"/>
          </w:tcPr>
          <w:p>
            <w:pPr>
              <w:jc w:val="right"/>
              <w:ind w:right="373"/>
              <w:spacing w:after="0" w:line="196" w:lineRule="exact"/>
              <w:rPr>
                <w:sz w:val="20"/>
                <w:szCs w:val="20"/>
                <w:color w:val="auto"/>
              </w:rPr>
            </w:pPr>
            <w:r>
              <w:rPr>
                <w:rFonts w:ascii="Arial" w:cs="Arial" w:eastAsia="Arial" w:hAnsi="Arial"/>
                <w:sz w:val="18"/>
                <w:szCs w:val="18"/>
                <w:color w:val="auto"/>
              </w:rPr>
              <w:t>2,982,800</w:t>
            </w:r>
          </w:p>
        </w:tc>
        <w:tc>
          <w:tcPr>
            <w:tcW w:w="17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$35,655,978.39</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Bayer HealthCare LLC</w:t>
            </w:r>
          </w:p>
        </w:tc>
        <w:tc>
          <w:tcPr>
            <w:tcW w:w="450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1,920,757</w:t>
            </w:r>
          </w:p>
        </w:tc>
        <w:tc>
          <w:tcPr>
            <w:tcW w:w="1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$24,529,689.59</w:t>
            </w: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Humboldt Fund I, LP(3)</w:t>
            </w:r>
          </w:p>
        </w:tc>
        <w:tc>
          <w:tcPr>
            <w:tcW w:w="450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1,250,532</w:t>
            </w:r>
          </w:p>
        </w:tc>
        <w:tc>
          <w:tcPr>
            <w:tcW w:w="1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$14,825,929.39</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Entities affiliated with RA Capital(4)</w:t>
            </w:r>
          </w:p>
        </w:tc>
        <w:tc>
          <w:tcPr>
            <w:tcW w:w="450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1,000,575</w:t>
            </w:r>
          </w:p>
        </w:tc>
        <w:tc>
          <w:tcPr>
            <w:tcW w:w="1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$12,000,002.54</w:t>
            </w:r>
          </w:p>
        </w:tc>
      </w:tr>
      <w:tr>
        <w:trPr>
          <w:trHeight w:val="203"/>
        </w:trPr>
        <w:tc>
          <w:tcPr>
            <w:tcW w:w="47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Sozo Ventures(5)</w:t>
            </w:r>
          </w:p>
        </w:tc>
        <w:tc>
          <w:tcPr>
            <w:tcW w:w="4500" w:type="dxa"/>
            <w:vAlign w:val="bottom"/>
            <w:tcBorders>
              <w:bottom w:val="single" w:sz="8" w:color="auto"/>
            </w:tcBorders>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816,063</w:t>
            </w:r>
          </w:p>
        </w:tc>
        <w:tc>
          <w:tcPr>
            <w:tcW w:w="1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$10,442,237.49</w:t>
            </w:r>
          </w:p>
        </w:tc>
        <w:tc>
          <w:tcPr>
            <w:tcW w:w="60" w:type="dxa"/>
            <w:vAlign w:val="bottom"/>
            <w:shd w:val="clear" w:color="auto" w:fill="CCEEFF"/>
          </w:tcPr>
          <w:p>
            <w:pPr>
              <w:spacing w:after="0"/>
              <w:rPr>
                <w:sz w:val="17"/>
                <w:szCs w:val="17"/>
                <w:color w:val="auto"/>
              </w:rPr>
            </w:pPr>
          </w:p>
        </w:tc>
      </w:tr>
    </w:tbl>
    <w:p>
      <w:pPr>
        <w:spacing w:after="0" w:line="76" w:lineRule="exact"/>
        <w:rPr>
          <w:sz w:val="20"/>
          <w:szCs w:val="20"/>
          <w:color w:val="auto"/>
        </w:rPr>
      </w:pPr>
    </w:p>
    <w:p>
      <w:pPr>
        <w:ind w:left="540" w:right="160" w:hanging="424"/>
        <w:spacing w:after="0" w:line="245"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2,607,387 Series B preferred units and 375,413 Series B-1 preferred units. ModernaTX, Inc. holds more than 5 percent of our voting securities.</w:t>
      </w:r>
    </w:p>
    <w:p>
      <w:pPr>
        <w:ind w:left="540" w:right="80" w:hanging="424"/>
        <w:spacing w:after="0" w:line="234"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1,030,086 Series B preferred units and 890,671 Series B-1 preferred units. Juergen Eckhardt, a manager on our board of managers, is an affiliate of Bayer Consumer Care AG, which is an affiliate of Bayer HealthCare LLC. Bayer HealthCare LLC holds more than 5 percent of our voting securities.</w:t>
      </w:r>
    </w:p>
    <w:p>
      <w:pPr>
        <w:spacing w:after="0" w:line="2" w:lineRule="exact"/>
        <w:rPr>
          <w:rFonts w:ascii="Arial" w:cs="Arial" w:eastAsia="Arial" w:hAnsi="Arial"/>
          <w:sz w:val="18"/>
          <w:szCs w:val="18"/>
          <w:color w:val="auto"/>
        </w:rPr>
      </w:pPr>
    </w:p>
    <w:p>
      <w:pPr>
        <w:ind w:left="540" w:right="40" w:hanging="424"/>
        <w:spacing w:after="0" w:line="234"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1,143,905 Series B preferred units and 106,627 Series B-1 preferred units. Sebastián Bernales, a manager on our board of managers, is an affiliate of Humboldt Fund. Humboldt Fund I, LP is an affiliated fund of Humboldt Fund. Humboldt Fund I, LP holds more than 5 percent of our voting securities.</w:t>
      </w:r>
    </w:p>
    <w:p>
      <w:pPr>
        <w:spacing w:after="0" w:line="2" w:lineRule="exact"/>
        <w:rPr>
          <w:rFonts w:ascii="Arial" w:cs="Arial" w:eastAsia="Arial" w:hAnsi="Arial"/>
          <w:sz w:val="18"/>
          <w:szCs w:val="18"/>
          <w:color w:val="auto"/>
        </w:rPr>
      </w:pPr>
    </w:p>
    <w:p>
      <w:pPr>
        <w:ind w:left="540" w:right="200" w:hanging="424"/>
        <w:spacing w:after="0" w:line="234"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600,883 Series B preferred units and 99,519 Series B-1 preferred unit purchased by RA Capital Healthcare Fund, L.P., and 257,522 Series B preferred units and 42,651 Series B-1 preferred units purchased by RA Capital Nexus Fund II, L.P. Entities affiliated with RA Capital collectively hold more than 5 percent of our voting securities.</w:t>
      </w:r>
    </w:p>
    <w:p>
      <w:pPr>
        <w:spacing w:after="0" w:line="2" w:lineRule="exact"/>
        <w:rPr>
          <w:rFonts w:ascii="Arial" w:cs="Arial" w:eastAsia="Arial" w:hAnsi="Arial"/>
          <w:sz w:val="18"/>
          <w:szCs w:val="18"/>
          <w:color w:val="auto"/>
        </w:rPr>
      </w:pPr>
    </w:p>
    <w:p>
      <w:pPr>
        <w:ind w:left="540" w:right="320" w:hanging="424"/>
        <w:spacing w:after="0" w:line="250"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429,202 Series B preferred units and 386,861 Series B-1 preferred units purchased by Sozo Ventures lll, L.P. Entities affiliated with Sozo Ventures collectively hold more than 5 percent of our voting securities.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Agreements with Unitholders</w:t>
      </w:r>
    </w:p>
    <w:p>
      <w:pPr>
        <w:spacing w:after="0" w:line="148"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In connection with our Series A-1, Series A-2, Series A-3, Series A-4, and Series A-5 preferred unit financings and our Series B preferred unit financing, we entered into investors’ rights, voting and right of first refusal and co-sale agreements containing registration rights, information rights, voting rights and rights of first refusal, among other things, with certain holders of our preferred units and certain holders of our common units. These unitholder agreements will terminate upon the closing of this offering, except for the registration rights granted under our investors’ rights agreement, as more fully described in “Description of Capital Stock—Registration Rights.”</w:t>
      </w:r>
    </w:p>
    <w:p>
      <w:pPr>
        <w:spacing w:after="0" w:line="95"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color w:val="auto"/>
        </w:rPr>
        <w:t>In connection with our Series A-4 preferred unit financing, we entered into a side letter agreement (the “Humboldt Side Letter”), with Humboldt Fund I, LP (“Humboldt”). Pursuant to the Humboldt Side Letter, we represented and warranted to Humboldt regarding certain U.S. tax status and CFIUS matters. We agreed that Humboldt would not be deemed a competitor for any purpose under the financing agreements. We further agreed to use commercially reasonable efforts to comply with all record-keeping, reporting and other reasonable request necessary to comply with any applicable U.S. tax law or to allow Humboldt and its Partners to comply with the applicable provisions of U.S. tax law with respect to the direct or indirect ownership of the Company.</w:t>
      </w:r>
    </w:p>
    <w:p>
      <w:pPr>
        <w:spacing w:after="0" w:line="111"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In connection with our Series A-5 preferred unit financing, we entered into a side letter agreement (the “RA Capital Side Letter”), with RA Capital Healthcare Fund, L.P. and RA Capital Nexus Fund II, L.P. (collectively, “RA Capital”). Pursuant to the RA Capital Side Letter, RA Capital is entitled to purchase a portion of the preferred units in the event that the Company sells preferred units in a single transaction or series of related transactions</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following the date of the RA Capital Side Letter, primarily for capital raising purposes, with gross proceeds to the Company in excess of</w:t>
      </w:r>
    </w:p>
    <w:p>
      <w:pPr>
        <w:spacing w:after="0" w:line="14" w:lineRule="exact"/>
        <w:rPr>
          <w:sz w:val="20"/>
          <w:szCs w:val="20"/>
          <w:color w:val="auto"/>
        </w:rPr>
      </w:pPr>
    </w:p>
    <w:p>
      <w:pPr>
        <w:ind w:left="120" w:right="40"/>
        <w:spacing w:after="0" w:line="250" w:lineRule="auto"/>
        <w:rPr>
          <w:sz w:val="20"/>
          <w:szCs w:val="20"/>
          <w:color w:val="auto"/>
        </w:rPr>
      </w:pPr>
      <w:r>
        <w:rPr>
          <w:rFonts w:ascii="Arial" w:cs="Arial" w:eastAsia="Arial" w:hAnsi="Arial"/>
          <w:sz w:val="18"/>
          <w:szCs w:val="18"/>
          <w:color w:val="auto"/>
        </w:rPr>
        <w:t>$10,000,000. In addition, the Series A-5 preferred units held by RA Capital shall not be automatically converted into common units without the prior written approval of RA Capital, but shall remain subject to conversion immediately upon the closing of this offering.</w:t>
      </w:r>
    </w:p>
    <w:p>
      <w:pPr>
        <w:spacing w:after="0" w:line="104"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We entered into a research and development master service agreement (the “Bayer R&amp;D Agreement”), with Bayer Healthcare LLC (“Bayer”), in November 2019. Bayer was performing research and development services under the Bayer R&amp;D Agreement in accordance with the statement of works agreed by the parties. Services under the Bayer R&amp;D Agreement were completed as of December 31, 2020, and we accrued $0.2 million in accrued expenses and other current liabilities as of December 31, 2020. We paid $0.2 million to Bayer in February and March 2021 in connection with the Bayer R&amp;D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Convertible Promissory Note with Affini-T</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December 2020, we entered into a convertible promissory note agreement and a side letter with Affini-T Therapeutics, Inc. (“Affini-T”), a private biotechnology company. We paid cash of $1.5 million as a principal amount of the promissory note with 6% annual interest and maturity in December 2021. The promissory note was convertible in Affini-T’s next qualifying round of financing at a conversion price equal to the lesser of (i) 85% of the price per share paid by other investors (or 80% if the qualified financing occurs after June 24, 2021) or</w:t>
      </w:r>
    </w:p>
    <w:p>
      <w:pPr>
        <w:ind w:left="120" w:hanging="4"/>
        <w:spacing w:after="0" w:line="237" w:lineRule="auto"/>
        <w:tabs>
          <w:tab w:leader="none" w:pos="37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price per share obtained by dividing $30.0 million by the number of shares of common stock of Affini-T outstanding immediately prior to the qualified financing. In accordance with the side letter, we were engaged to perform the certain services for Affini-T. As a consideration for services, we received 1,867,300 shares of Affini-T common stock, of which 10% of such shares were vested at the issuance date and 90% of such shares were subject to forfeiture if no genome editing licensing agreement was finalized between us and Affini-T by October 31, 2021. Effective November 1, 2021, 1,653,570 common stock shares issued to us were forfeited and cancelled as the license agreement was not signed between the parties. When we entered into the convertible promissory note, our chief business officer at the time also served as chief executive officer of Affini-T. Our chief business officer departed the company in November 2021 and Affini-T was no longer a related party of the company as of December 31, 2021.</w:t>
      </w:r>
    </w:p>
    <w:p>
      <w:pPr>
        <w:spacing w:after="0" w:line="10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In March 2022, Affini-T closed a qualified round of financing, and the convertible promissory note and accrued interest were converted into 527,035 shares of Series A convertible preferred stock of Affini-T.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Equity Grants to Executive Officers</w:t>
      </w:r>
    </w:p>
    <w:p>
      <w:pPr>
        <w:spacing w:after="0" w:line="135"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color w:val="auto"/>
        </w:rPr>
        <w:t>We have historically granted profits interests to our named executive officers as more fully described in the section entitled “Executive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Indemnification Agreements</w:t>
      </w:r>
    </w:p>
    <w:p>
      <w:pPr>
        <w:spacing w:after="0" w:line="135"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In connection with this offering, we intend to enter into new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Policies for Approval of Related Party Transactions</w:t>
      </w:r>
    </w:p>
    <w:p>
      <w:pPr>
        <w:spacing w:after="0" w:line="14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Our board of directors reviews and approves transactions with directors, officers, and holders of five percent or more of our voting securities and their affiliates, each a related party. Prior to this offering, the material facts as to the related party’s relationship or interest in the transaction were disclosed to our board of directors prior to their consideration of such transaction, and the transaction was not considered approved by our board of directors unless a majority of the directors who are not interested in the transaction approved the transaction. Further, when stockholders are entitled to vote on a transaction with a related party, the material facts of the related party’s relationship or interest in the transaction were disclosed to the stockholders, who must approve the transaction in good faith.</w:t>
      </w:r>
    </w:p>
    <w:p>
      <w:pPr>
        <w:spacing w:after="0" w:line="111"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In connection with this offering, we expect to adopt a written related party transactions policy that will provide that such transactions must be approved by our audit committee. This policy will become effective on the date on which the registration statement of which this prospectus forms a part is declared effective by the SEC. Pursuant to this policy, the audit committee has the primary responsibility for reviewing and approving or disapproving “related party transactions,” which are transactions between us and related persons in which the aggregate amount involved exceeds or may be expected to exceed $ 120,000 and in which a related person has or will have a direct or indirect material interest. For purposes of this policy, a related person will be defined as a director, executive officer, nominee for director, or greater than 5 percent beneficial owner of our common stock, in each case since the beginning of the most recently completed year, and their immediate family members.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060"/>
          </w:cols>
          <w:pgMar w:left="320" w:top="455" w:right="51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PRINCIPAL STOCKHOLDERS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as of March 31, 2023, information regarding the beneficial ownership of our common stock by:</w:t>
      </w:r>
    </w:p>
    <w:p>
      <w:pPr>
        <w:spacing w:after="0" w:line="144" w:lineRule="exact"/>
        <w:rPr>
          <w:sz w:val="20"/>
          <w:szCs w:val="20"/>
          <w:color w:val="auto"/>
        </w:rPr>
      </w:pPr>
    </w:p>
    <w:p>
      <w:pPr>
        <w:ind w:left="340" w:right="220" w:hanging="224"/>
        <w:spacing w:after="0" w:line="271"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 the beneficial owner of five percent or more of our outstanding common stock (on an as-converted to common stock basis);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44" w:lineRule="exact"/>
        <w:rPr>
          <w:sz w:val="20"/>
          <w:szCs w:val="20"/>
          <w:color w:val="auto"/>
        </w:rPr>
      </w:pPr>
    </w:p>
    <w:p>
      <w:pPr>
        <w:ind w:left="120" w:right="80"/>
        <w:spacing w:after="0" w:line="245" w:lineRule="auto"/>
        <w:rPr>
          <w:sz w:val="20"/>
          <w:szCs w:val="20"/>
          <w:color w:val="auto"/>
        </w:rPr>
      </w:pPr>
      <w:r>
        <w:rPr>
          <w:rFonts w:ascii="Arial" w:cs="Arial" w:eastAsia="Arial" w:hAnsi="Arial"/>
          <w:sz w:val="18"/>
          <w:szCs w:val="18"/>
          <w:color w:val="auto"/>
        </w:rPr>
        <w:t>The information in the following table is calculated based on shares of common stock deemed to be outstanding before this offering and shares of common stock outstanding after this offering, assuming no exercise by the underwriters of their option to</w:t>
      </w:r>
    </w:p>
    <w:p>
      <w:pPr>
        <w:ind w:left="120"/>
        <w:spacing w:after="0"/>
        <w:rPr>
          <w:sz w:val="20"/>
          <w:szCs w:val="20"/>
          <w:color w:val="auto"/>
        </w:rPr>
      </w:pPr>
      <w:r>
        <w:rPr>
          <w:rFonts w:ascii="Arial" w:cs="Arial" w:eastAsia="Arial" w:hAnsi="Arial"/>
          <w:sz w:val="18"/>
          <w:szCs w:val="18"/>
          <w:color w:val="auto"/>
        </w:rPr>
        <w:t>purchase additional shares of common stock. The number of shares outstanding is based on the number of shares of common stock</w:t>
      </w:r>
    </w:p>
    <w:p>
      <w:pPr>
        <w:spacing w:after="0" w:line="391" w:lineRule="exact"/>
        <w:rPr>
          <w:sz w:val="20"/>
          <w:szCs w:val="20"/>
          <w:color w:val="auto"/>
        </w:rPr>
      </w:pPr>
    </w:p>
    <w:p>
      <w:pPr>
        <w:ind w:left="120"/>
        <w:spacing w:after="0"/>
        <w:tabs>
          <w:tab w:leader="none" w:pos="2700" w:val="left"/>
        </w:tabs>
        <w:rPr>
          <w:sz w:val="20"/>
          <w:szCs w:val="20"/>
          <w:color w:val="auto"/>
        </w:rPr>
      </w:pPr>
      <w:r>
        <w:rPr>
          <w:rFonts w:ascii="Arial" w:cs="Arial" w:eastAsia="Arial" w:hAnsi="Arial"/>
          <w:sz w:val="18"/>
          <w:szCs w:val="18"/>
          <w:color w:val="auto"/>
        </w:rPr>
        <w:t>outstanding (including</w:t>
      </w:r>
      <w:r>
        <w:rPr>
          <w:sz w:val="20"/>
          <w:szCs w:val="20"/>
          <w:color w:val="auto"/>
        </w:rPr>
        <w:tab/>
      </w:r>
      <w:r>
        <w:rPr>
          <w:rFonts w:ascii="Arial" w:cs="Arial" w:eastAsia="Arial" w:hAnsi="Arial"/>
          <w:sz w:val="17"/>
          <w:szCs w:val="17"/>
          <w:color w:val="auto"/>
        </w:rPr>
        <w:t>shares of unvested restricted common stock) as of March 31, 2023 as adjusted to give effect to:</w:t>
      </w:r>
    </w:p>
    <w:p>
      <w:pPr>
        <w:spacing w:after="0" w:line="144" w:lineRule="exact"/>
        <w:rPr>
          <w:sz w:val="20"/>
          <w:szCs w:val="20"/>
          <w:color w:val="auto"/>
        </w:rPr>
      </w:pPr>
    </w:p>
    <w:p>
      <w:pPr>
        <w:ind w:left="340" w:right="160" w:hanging="219"/>
        <w:spacing w:after="0" w:line="271" w:lineRule="auto"/>
        <w:tabs>
          <w:tab w:leader="none" w:pos="320" w:val="left"/>
        </w:tabs>
        <w:rPr>
          <w:sz w:val="20"/>
          <w:szCs w:val="20"/>
          <w:color w:val="auto"/>
        </w:rPr>
      </w:pPr>
      <w:r>
        <w:rPr>
          <w:rFonts w:ascii="Arial" w:cs="Arial" w:eastAsia="Arial" w:hAnsi="Arial"/>
          <w:sz w:val="18"/>
          <w:szCs w:val="18"/>
          <w:color w:val="auto"/>
        </w:rPr>
        <w:t>•</w:t>
        <w:tab/>
        <w:t>the conversion of shares of our convertible preferred stock outstanding as of March 31, 2023 into an equivalent number of shares of our common stock, which will occur immediately prior to the completion of this offering; and</w:t>
      </w:r>
    </w:p>
    <w:p>
      <w:pPr>
        <w:sectPr>
          <w:pgSz w:w="11900" w:h="16838" w:orient="portrait"/>
          <w:cols w:equalWidth="0" w:num="1">
            <w:col w:w="11020"/>
          </w:cols>
          <w:pgMar w:left="320" w:top="455" w:right="559" w:bottom="1440" w:gutter="0" w:footer="0" w:header="0"/>
        </w:sectPr>
      </w:pPr>
    </w:p>
    <w:p>
      <w:pPr>
        <w:spacing w:after="0" w:line="86"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sale of</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 in this offering (assuming no exercise of the underwriters’ option to purchase additional</w:t>
      </w:r>
    </w:p>
    <w:p>
      <w:pPr>
        <w:spacing w:after="0" w:line="345" w:lineRule="exact"/>
        <w:rPr>
          <w:sz w:val="20"/>
          <w:szCs w:val="20"/>
          <w:color w:val="auto"/>
        </w:rPr>
      </w:pPr>
    </w:p>
    <w:p>
      <w:pPr>
        <w:sectPr>
          <w:pgSz w:w="11900" w:h="16838" w:orient="portrait"/>
          <w:cols w:equalWidth="0" w:num="2">
            <w:col w:w="1240" w:space="720"/>
            <w:col w:w="9060"/>
          </w:cols>
          <w:pgMar w:left="320" w:top="455" w:right="559" w:bottom="1440" w:gutter="0" w:footer="0" w:header="0"/>
          <w:type w:val="continuous"/>
        </w:sectPr>
      </w:pPr>
    </w:p>
    <w:p>
      <w:pPr>
        <w:ind w:left="120"/>
        <w:spacing w:after="0" w:line="253" w:lineRule="auto"/>
        <w:rPr>
          <w:sz w:val="20"/>
          <w:szCs w:val="20"/>
          <w:color w:val="auto"/>
        </w:rPr>
      </w:pPr>
      <w:r>
        <w:rPr>
          <w:rFonts w:ascii="Arial" w:cs="Arial" w:eastAsia="Arial" w:hAnsi="Arial"/>
          <w:sz w:val="18"/>
          <w:szCs w:val="18"/>
          <w:color w:val="auto"/>
        </w:rPr>
        <w:t>Each individual or entity shown on the table has furnished information with respect to beneficial ownership. Except as otherwise indicated below, the address of each officer, director and five percent stockholder listed below is c/o Metagenomi Technologies, LLC, 1545 Park Avenue, Emeryville, California 94608.</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020"/>
          </w:cols>
          <w:pgMar w:left="320" w:top="455" w:right="559" w:bottom="1440" w:gutter="0" w:footer="0" w:header="0"/>
          <w:type w:val="continuous"/>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These rules generally attribute beneficial ownership of securities to persons who possess sole or shared voting power or investment power with respect to those securities as well as any shares of common stock that the person has the right to acquire within 60 days of March 31, 2023 through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780" w:type="dxa"/>
            <w:vAlign w:val="bottom"/>
          </w:tcPr>
          <w:p>
            <w:pPr>
              <w:jc w:val="right"/>
              <w:ind w:right="919"/>
              <w:spacing w:after="0"/>
              <w:rPr>
                <w:sz w:val="20"/>
                <w:szCs w:val="20"/>
                <w:color w:val="auto"/>
              </w:rPr>
            </w:pPr>
            <w:r>
              <w:rPr>
                <w:rFonts w:ascii="Arial" w:cs="Arial" w:eastAsia="Arial" w:hAnsi="Arial"/>
                <w:sz w:val="16"/>
                <w:szCs w:val="16"/>
                <w:b w:val="1"/>
                <w:bCs w:val="1"/>
                <w:color w:val="auto"/>
              </w:rPr>
              <w:t>Shares of</w:t>
            </w:r>
          </w:p>
        </w:tc>
        <w:tc>
          <w:tcPr>
            <w:tcW w:w="1360" w:type="dxa"/>
            <w:vAlign w:val="bottom"/>
          </w:tcPr>
          <w:p>
            <w:pPr>
              <w:spacing w:after="0"/>
              <w:rPr>
                <w:sz w:val="16"/>
                <w:szCs w:val="16"/>
                <w:color w:val="auto"/>
              </w:rPr>
            </w:pPr>
          </w:p>
        </w:tc>
        <w:tc>
          <w:tcPr>
            <w:tcW w:w="188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Percentage of shares</w:t>
            </w:r>
          </w:p>
        </w:tc>
        <w:tc>
          <w:tcPr>
            <w:tcW w:w="0" w:type="dxa"/>
            <w:vAlign w:val="bottom"/>
          </w:tcPr>
          <w:p>
            <w:pPr>
              <w:spacing w:after="0"/>
              <w:rPr>
                <w:sz w:val="1"/>
                <w:szCs w:val="1"/>
                <w:color w:val="auto"/>
              </w:rPr>
            </w:pPr>
          </w:p>
        </w:tc>
      </w:tr>
      <w:tr>
        <w:trPr>
          <w:trHeight w:val="108"/>
        </w:trPr>
        <w:tc>
          <w:tcPr>
            <w:tcW w:w="7780" w:type="dxa"/>
            <w:vAlign w:val="bottom"/>
            <w:vMerge w:val="restart"/>
          </w:tcPr>
          <w:p>
            <w:pPr>
              <w:jc w:val="right"/>
              <w:ind w:right="919"/>
              <w:spacing w:after="0"/>
              <w:rPr>
                <w:sz w:val="20"/>
                <w:szCs w:val="20"/>
                <w:color w:val="auto"/>
              </w:rPr>
            </w:pPr>
            <w:r>
              <w:rPr>
                <w:rFonts w:ascii="Arial" w:cs="Arial" w:eastAsia="Arial" w:hAnsi="Arial"/>
                <w:sz w:val="16"/>
                <w:szCs w:val="16"/>
                <w:b w:val="1"/>
                <w:bCs w:val="1"/>
                <w:color w:val="auto"/>
              </w:rPr>
              <w:t>common stock</w:t>
            </w:r>
          </w:p>
        </w:tc>
        <w:tc>
          <w:tcPr>
            <w:tcW w:w="1360" w:type="dxa"/>
            <w:vAlign w:val="bottom"/>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77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88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beneficially owned</w:t>
            </w:r>
          </w:p>
        </w:tc>
        <w:tc>
          <w:tcPr>
            <w:tcW w:w="0" w:type="dxa"/>
            <w:vAlign w:val="bottom"/>
          </w:tcPr>
          <w:p>
            <w:pPr>
              <w:spacing w:after="0"/>
              <w:rPr>
                <w:sz w:val="1"/>
                <w:szCs w:val="1"/>
                <w:color w:val="auto"/>
              </w:rPr>
            </w:pPr>
          </w:p>
        </w:tc>
      </w:tr>
      <w:tr>
        <w:trPr>
          <w:trHeight w:val="122"/>
        </w:trPr>
        <w:tc>
          <w:tcPr>
            <w:tcW w:w="7780" w:type="dxa"/>
            <w:vAlign w:val="bottom"/>
            <w:vMerge w:val="restart"/>
          </w:tcPr>
          <w:p>
            <w:pPr>
              <w:jc w:val="right"/>
              <w:ind w:right="919"/>
              <w:spacing w:after="0"/>
              <w:rPr>
                <w:sz w:val="20"/>
                <w:szCs w:val="20"/>
                <w:color w:val="auto"/>
              </w:rPr>
            </w:pPr>
            <w:r>
              <w:rPr>
                <w:rFonts w:ascii="Arial" w:cs="Arial" w:eastAsia="Arial" w:hAnsi="Arial"/>
                <w:sz w:val="16"/>
                <w:szCs w:val="16"/>
                <w:b w:val="1"/>
                <w:bCs w:val="1"/>
                <w:color w:val="auto"/>
              </w:rPr>
              <w:t>beneficially</w:t>
            </w:r>
          </w:p>
        </w:tc>
        <w:tc>
          <w:tcPr>
            <w:tcW w:w="136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7780" w:type="dxa"/>
            <w:vAlign w:val="bottom"/>
            <w:vMerge w:val="continue"/>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18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78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owned</w:t>
            </w:r>
          </w:p>
        </w:tc>
        <w:tc>
          <w:tcPr>
            <w:tcW w:w="1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Before offering</w:t>
            </w:r>
          </w:p>
        </w:tc>
        <w:tc>
          <w:tcPr>
            <w:tcW w:w="1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After offering</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or Greater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289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Bayer HealthCare LLC</w:t>
      </w:r>
    </w:p>
    <w:p>
      <w:pPr>
        <w:ind w:left="480"/>
        <w:spacing w:after="0" w:line="234" w:lineRule="auto"/>
        <w:rPr>
          <w:sz w:val="20"/>
          <w:szCs w:val="20"/>
          <w:color w:val="auto"/>
        </w:rPr>
      </w:pPr>
      <w:r>
        <w:rPr>
          <w:rFonts w:ascii="Arial" w:cs="Arial" w:eastAsia="Arial" w:hAnsi="Arial"/>
          <w:sz w:val="18"/>
          <w:szCs w:val="18"/>
          <w:color w:val="auto"/>
        </w:rPr>
        <w:t>Humboldt Fund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2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ind w:left="480"/>
        <w:spacing w:after="0" w:line="235" w:lineRule="auto"/>
        <w:rPr>
          <w:sz w:val="20"/>
          <w:szCs w:val="20"/>
          <w:color w:val="auto"/>
        </w:rPr>
      </w:pPr>
      <w:r>
        <w:rPr>
          <w:rFonts w:ascii="Arial" w:cs="Arial" w:eastAsia="Arial" w:hAnsi="Arial"/>
          <w:sz w:val="18"/>
          <w:szCs w:val="18"/>
          <w:color w:val="auto"/>
        </w:rPr>
        <w:t>ModernaTX, Inc.</w:t>
      </w:r>
    </w:p>
    <w:p>
      <w:pPr>
        <w:ind w:left="480"/>
        <w:spacing w:after="0" w:line="235" w:lineRule="auto"/>
        <w:rPr>
          <w:sz w:val="20"/>
          <w:szCs w:val="20"/>
          <w:color w:val="auto"/>
        </w:rPr>
      </w:pPr>
      <w:r>
        <w:rPr>
          <w:rFonts w:ascii="Arial" w:cs="Arial" w:eastAsia="Arial" w:hAnsi="Arial"/>
          <w:sz w:val="18"/>
          <w:szCs w:val="18"/>
          <w:color w:val="auto"/>
        </w:rPr>
        <w:t>Sake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spacing w:after="0" w:line="235" w:lineRule="auto"/>
        <w:rPr>
          <w:sz w:val="20"/>
          <w:szCs w:val="20"/>
          <w:color w:val="auto"/>
        </w:rPr>
      </w:pPr>
      <w:r>
        <w:rPr>
          <w:rFonts w:ascii="Arial" w:cs="Arial" w:eastAsia="Arial" w:hAnsi="Arial"/>
          <w:sz w:val="18"/>
          <w:szCs w:val="18"/>
          <w:color w:val="auto"/>
        </w:rPr>
        <w:t>Entities affiliated with Sozo Ventures</w:t>
      </w:r>
    </w:p>
    <w:p>
      <w:pPr>
        <w:ind w:left="480"/>
        <w:spacing w:after="0"/>
        <w:rPr>
          <w:sz w:val="20"/>
          <w:szCs w:val="20"/>
          <w:color w:val="auto"/>
        </w:rPr>
      </w:pPr>
      <w:r>
        <w:rPr>
          <w:rFonts w:ascii="Arial" w:cs="Arial" w:eastAsia="Arial" w:hAnsi="Arial"/>
          <w:sz w:val="18"/>
          <w:szCs w:val="18"/>
          <w:color w:val="auto"/>
        </w:rPr>
        <w:t>Entities affiliated with RA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Named Executive Officers and Other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w:t>
      </w:r>
    </w:p>
    <w:p>
      <w:pPr>
        <w:ind w:left="480"/>
        <w:spacing w:after="0" w:line="234" w:lineRule="auto"/>
        <w:rPr>
          <w:sz w:val="20"/>
          <w:szCs w:val="20"/>
          <w:color w:val="auto"/>
        </w:rPr>
      </w:pPr>
      <w:r>
        <w:rPr>
          <w:rFonts w:ascii="Arial" w:cs="Arial" w:eastAsia="Arial" w:hAnsi="Arial"/>
          <w:sz w:val="18"/>
          <w:szCs w:val="18"/>
          <w:color w:val="auto"/>
        </w:rPr>
        <w:t>Brian C. Thomas,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spacing w:after="0" w:line="235" w:lineRule="auto"/>
        <w:rPr>
          <w:sz w:val="20"/>
          <w:szCs w:val="20"/>
          <w:color w:val="auto"/>
        </w:rPr>
      </w:pPr>
      <w:r>
        <w:rPr>
          <w:rFonts w:ascii="Arial" w:cs="Arial" w:eastAsia="Arial" w:hAnsi="Arial"/>
          <w:sz w:val="18"/>
          <w:szCs w:val="18"/>
          <w:color w:val="auto"/>
        </w:rPr>
        <w:t>Juergen Eckhardt, M.D., MBA</w:t>
      </w:r>
    </w:p>
    <w:p>
      <w:pPr>
        <w:ind w:left="480"/>
        <w:spacing w:after="0" w:line="235" w:lineRule="auto"/>
        <w:rPr>
          <w:sz w:val="20"/>
          <w:szCs w:val="20"/>
          <w:color w:val="auto"/>
        </w:rPr>
      </w:pPr>
      <w:r>
        <w:rPr>
          <w:rFonts w:ascii="Arial" w:cs="Arial" w:eastAsia="Arial" w:hAnsi="Arial"/>
          <w:sz w:val="18"/>
          <w:szCs w:val="18"/>
          <w:color w:val="auto"/>
        </w:rPr>
        <w:t>Sebastián Bernales,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spacing w:after="0" w:line="235" w:lineRule="auto"/>
        <w:rPr>
          <w:sz w:val="20"/>
          <w:szCs w:val="20"/>
          <w:color w:val="auto"/>
        </w:rPr>
      </w:pPr>
      <w:r>
        <w:rPr>
          <w:rFonts w:ascii="Arial" w:cs="Arial" w:eastAsia="Arial" w:hAnsi="Arial"/>
          <w:sz w:val="18"/>
          <w:szCs w:val="18"/>
          <w:color w:val="auto"/>
        </w:rPr>
        <w:t>Risa Stack, Ph.D.</w:t>
      </w:r>
    </w:p>
    <w:p>
      <w:pPr>
        <w:ind w:left="480"/>
        <w:spacing w:after="0" w:line="235" w:lineRule="auto"/>
        <w:rPr>
          <w:sz w:val="20"/>
          <w:szCs w:val="20"/>
          <w:color w:val="auto"/>
        </w:rPr>
      </w:pPr>
      <w:r>
        <w:rPr>
          <w:rFonts w:ascii="Arial" w:cs="Arial" w:eastAsia="Arial" w:hAnsi="Arial"/>
          <w:sz w:val="18"/>
          <w:szCs w:val="18"/>
          <w:color w:val="auto"/>
        </w:rPr>
        <w:t>Willard Dere,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spacing w:after="0" w:line="234" w:lineRule="auto"/>
        <w:rPr>
          <w:sz w:val="20"/>
          <w:szCs w:val="20"/>
          <w:color w:val="auto"/>
        </w:rPr>
      </w:pPr>
      <w:r>
        <w:rPr>
          <w:rFonts w:ascii="Arial" w:cs="Arial" w:eastAsia="Arial" w:hAnsi="Arial"/>
          <w:sz w:val="18"/>
          <w:szCs w:val="18"/>
          <w:color w:val="auto"/>
        </w:rPr>
        <w:t>Santhosh Palani, Ph.D.</w:t>
      </w:r>
    </w:p>
    <w:p>
      <w:pPr>
        <w:ind w:left="480"/>
        <w:spacing w:after="0" w:line="235" w:lineRule="auto"/>
        <w:rPr>
          <w:sz w:val="20"/>
          <w:szCs w:val="20"/>
          <w:color w:val="auto"/>
        </w:rPr>
      </w:pPr>
      <w:r>
        <w:rPr>
          <w:rFonts w:ascii="Arial" w:cs="Arial" w:eastAsia="Arial" w:hAnsi="Arial"/>
          <w:sz w:val="18"/>
          <w:szCs w:val="18"/>
          <w:color w:val="auto"/>
        </w:rPr>
        <w:t>Jian Irish,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2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ind w:left="480"/>
        <w:spacing w:after="0" w:line="235" w:lineRule="auto"/>
        <w:rPr>
          <w:sz w:val="20"/>
          <w:szCs w:val="20"/>
          <w:color w:val="auto"/>
        </w:rPr>
      </w:pPr>
      <w:r>
        <w:rPr>
          <w:rFonts w:ascii="Arial" w:cs="Arial" w:eastAsia="Arial" w:hAnsi="Arial"/>
          <w:sz w:val="18"/>
          <w:szCs w:val="18"/>
          <w:color w:val="auto"/>
        </w:rPr>
        <w:t>Simon Harnest, MSc</w:t>
      </w:r>
    </w:p>
    <w:p>
      <w:pPr>
        <w:ind w:left="480"/>
        <w:spacing w:after="0" w:line="235" w:lineRule="auto"/>
        <w:rPr>
          <w:sz w:val="20"/>
          <w:szCs w:val="20"/>
          <w:color w:val="auto"/>
        </w:rPr>
      </w:pPr>
      <w:r>
        <w:rPr>
          <w:rFonts w:ascii="Arial" w:cs="Arial" w:eastAsia="Arial" w:hAnsi="Arial"/>
          <w:sz w:val="18"/>
          <w:szCs w:val="18"/>
          <w:color w:val="auto"/>
        </w:rPr>
        <w:t>All executive officers and directors as a group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2571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8" w:lineRule="exact"/>
        <w:rPr>
          <w:sz w:val="20"/>
          <w:szCs w:val="20"/>
          <w:color w:val="auto"/>
        </w:rPr>
      </w:pPr>
    </w:p>
    <w:p>
      <w:pPr>
        <w:ind w:left="440" w:hanging="324"/>
        <w:spacing w:after="0"/>
        <w:tabs>
          <w:tab w:leader="none" w:pos="4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Less than one percent.</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40"/>
          </w:cols>
          <w:pgMar w:left="320" w:top="455" w:right="4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DESCRIPTION OF CAPITAL STOCK</w:t>
      </w:r>
    </w:p>
    <w:p>
      <w:pPr>
        <w:spacing w:after="0" w:line="168"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The following descriptions are summaries of the material terms of our amended and restated certificate of incorporation and amended and restated bylaws, which will be effective immediately upon the closing of this offering. The descriptions of the common stock and preferred stock give effect to changes to our capital structure, including the Reorganization, that will occur immediately prior to the closing of this offering. We refer in this section to our amended and restated certificate of incorporation as our certificate of incorporation, and we refer to our amended and restated bylaws as our bylaws.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General</w:t>
      </w:r>
    </w:p>
    <w:p>
      <w:pPr>
        <w:spacing w:after="0" w:line="148"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Upon completion of this offering, our authorized capital stock will consist of shares of common stock, par value $ per share, and shares of preferred stock, par value $ per share, all of which shares of preferred stock will be undesignated.</w:t>
      </w:r>
    </w:p>
    <w:p>
      <w:pPr>
        <w:spacing w:after="0" w:line="86" w:lineRule="exact"/>
        <w:rPr>
          <w:sz w:val="20"/>
          <w:szCs w:val="20"/>
          <w:color w:val="auto"/>
        </w:rPr>
      </w:pPr>
    </w:p>
    <w:p>
      <w:pPr>
        <w:ind w:left="120" w:right="160"/>
        <w:spacing w:after="0" w:line="245" w:lineRule="auto"/>
        <w:rPr>
          <w:sz w:val="20"/>
          <w:szCs w:val="20"/>
          <w:color w:val="auto"/>
        </w:rPr>
      </w:pPr>
      <w:r>
        <w:rPr>
          <w:rFonts w:ascii="Arial" w:cs="Arial" w:eastAsia="Arial" w:hAnsi="Arial"/>
          <w:sz w:val="18"/>
          <w:szCs w:val="18"/>
          <w:color w:val="auto"/>
        </w:rPr>
        <w:t>As of March 31, 2023, shares of our common stock were outstanding and held of record by stockholders, after giving effect to the Reorganization. This amount assumes the conversion of shares of our convertible preferred stock outstanding as</w:t>
      </w:r>
    </w:p>
    <w:p>
      <w:pPr>
        <w:ind w:left="120" w:right="500"/>
        <w:spacing w:after="0" w:line="250" w:lineRule="auto"/>
        <w:rPr>
          <w:sz w:val="20"/>
          <w:szCs w:val="20"/>
          <w:color w:val="auto"/>
        </w:rPr>
      </w:pPr>
      <w:r>
        <w:rPr>
          <w:rFonts w:ascii="Arial" w:cs="Arial" w:eastAsia="Arial" w:hAnsi="Arial"/>
          <w:sz w:val="18"/>
          <w:szCs w:val="18"/>
          <w:color w:val="auto"/>
        </w:rPr>
        <w:t>of March 31, 2023 into an equivalent number of shares of our common stock, which will occur immediately prior to the closing of this offering.</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Common Stock</w:t>
      </w:r>
    </w:p>
    <w:p>
      <w:pPr>
        <w:spacing w:after="0" w:line="148"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The holders of our common stock are entitled to one vote for each share held on all matters submitted to a vote of the common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95"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Preferred Stock</w:t>
      </w:r>
    </w:p>
    <w:p>
      <w:pPr>
        <w:spacing w:after="0" w:line="135" w:lineRule="exact"/>
        <w:rPr>
          <w:sz w:val="20"/>
          <w:szCs w:val="20"/>
          <w:color w:val="auto"/>
        </w:rPr>
      </w:pPr>
    </w:p>
    <w:p>
      <w:pPr>
        <w:ind w:left="120"/>
        <w:spacing w:after="0" w:line="259" w:lineRule="auto"/>
        <w:rPr>
          <w:sz w:val="20"/>
          <w:szCs w:val="20"/>
          <w:color w:val="auto"/>
        </w:rPr>
      </w:pPr>
      <w:r>
        <w:rPr>
          <w:rFonts w:ascii="Arial" w:cs="Arial" w:eastAsia="Arial" w:hAnsi="Arial"/>
          <w:sz w:val="17"/>
          <w:szCs w:val="17"/>
          <w:color w:val="auto"/>
        </w:rPr>
        <w:t>Immediately prior to the completion of this offering, all outstanding shares of our preferred stock will be converted into shares of our common stock. Upon the closing of this offering, our board of directors will have the authority, without further action by our stockholders, to</w:t>
      </w:r>
    </w:p>
    <w:p>
      <w:pPr>
        <w:spacing w:after="0" w:line="1"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issue up to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00"/>
          </w:cols>
          <w:pgMar w:left="320" w:top="455" w:right="47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Options</w:t>
      </w:r>
    </w:p>
    <w:p>
      <w:pPr>
        <w:spacing w:after="0" w:line="148" w:lineRule="exact"/>
        <w:rPr>
          <w:sz w:val="20"/>
          <w:szCs w:val="20"/>
          <w:color w:val="auto"/>
        </w:rPr>
      </w:pPr>
    </w:p>
    <w:p>
      <w:pPr>
        <w:ind w:left="120"/>
        <w:spacing w:after="0"/>
        <w:tabs>
          <w:tab w:leader="none" w:pos="2600" w:val="left"/>
        </w:tabs>
        <w:rPr>
          <w:sz w:val="20"/>
          <w:szCs w:val="20"/>
          <w:color w:val="auto"/>
        </w:rPr>
      </w:pPr>
      <w:r>
        <w:rPr>
          <w:rFonts w:ascii="Arial" w:cs="Arial" w:eastAsia="Arial" w:hAnsi="Arial"/>
          <w:sz w:val="18"/>
          <w:szCs w:val="18"/>
          <w:color w:val="auto"/>
        </w:rPr>
        <w:t>We expect to reserve</w:t>
      </w:r>
      <w:r>
        <w:rPr>
          <w:sz w:val="20"/>
          <w:szCs w:val="20"/>
          <w:color w:val="auto"/>
        </w:rPr>
        <w:tab/>
      </w:r>
      <w:r>
        <w:rPr>
          <w:rFonts w:ascii="Arial" w:cs="Arial" w:eastAsia="Arial" w:hAnsi="Arial"/>
          <w:sz w:val="17"/>
          <w:szCs w:val="17"/>
          <w:color w:val="auto"/>
        </w:rPr>
        <w:t>shares of common stock for future issuance under the 2023 Plan.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Rights</w:t>
      </w:r>
    </w:p>
    <w:p>
      <w:pPr>
        <w:spacing w:after="0" w:line="148"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Upon the completion of this offering, the holders of shares of our common stock, including those issuable upon the conversion of preferred stock upon closing of this offering, will be entitled to rights with respect to the registration of these securities under the Securities Act. These rights are provided under the terms of an amended and restated investors’ rights agreement between us, certain holders of our common stock and holders of our preferred stock. The amended and restated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42" w:lineRule="exact"/>
        <w:rPr>
          <w:sz w:val="20"/>
          <w:szCs w:val="20"/>
          <w:color w:val="auto"/>
        </w:rPr>
      </w:pPr>
    </w:p>
    <w:p>
      <w:pPr>
        <w:ind w:left="120"/>
        <w:spacing w:after="0"/>
        <w:tabs>
          <w:tab w:leader="none" w:pos="7800" w:val="left"/>
        </w:tabs>
        <w:rPr>
          <w:sz w:val="20"/>
          <w:szCs w:val="20"/>
          <w:color w:val="auto"/>
        </w:rPr>
      </w:pPr>
      <w:r>
        <w:rPr>
          <w:rFonts w:ascii="Arial" w:cs="Arial" w:eastAsia="Arial" w:hAnsi="Arial"/>
          <w:sz w:val="18"/>
          <w:szCs w:val="18"/>
          <w:color w:val="auto"/>
        </w:rPr>
        <w:t>Beginning 180 days after the effective date of this registration statement, the holders of</w:t>
      </w:r>
      <w:r>
        <w:rPr>
          <w:sz w:val="20"/>
          <w:szCs w:val="20"/>
          <w:color w:val="auto"/>
        </w:rPr>
        <w:tab/>
      </w:r>
      <w:r>
        <w:rPr>
          <w:rFonts w:ascii="Arial" w:cs="Arial" w:eastAsia="Arial" w:hAnsi="Arial"/>
          <w:sz w:val="18"/>
          <w:szCs w:val="18"/>
          <w:color w:val="auto"/>
        </w:rPr>
        <w:t>shares of our common stock, including</w:t>
      </w:r>
    </w:p>
    <w:p>
      <w:pPr>
        <w:spacing w:after="0" w:line="1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those issuable upon the conversion of shares of our preferred units upon closing of this offering, are entitled to demand registration rights. Under the terms of the amended and restated investors’ rights agreement, we will be required, upon the written request of holders of at least a majority of the securities eligible for registration then outstanding to file a registration statement with respect to at least a majority of the securities eligible for registration then outstanding, we will be required to file a registration statement within 60 days of such request covering all securities eligible for registration that our securityholders request to be included in such registration. We are required to effect only one registration pursuant to this provision of the amended and restated investors’ rights agreement in any twelve-month period.</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Short-Form Registration Rights</w:t>
      </w:r>
    </w:p>
    <w:p>
      <w:pPr>
        <w:spacing w:after="0" w:line="142"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Pursuant to the amended and restated investors’ rights agreement, if we are eligible to file a registration statement on Form S-3, upon the written request of securityholders holding at least twenty percent of the securities eligible for registration then outstanding we will be required to file a Form S-3 registration restatement with respect to outstanding securities of such securityholders having an aggregate price to the public of at least $ 5 million. We are required to effect only two registrations in any twelve-month period pursuant to this provision of the amended and restated investors’ rights agreement. The right to have such shares registered on Form S-3 is further subject to other specified conditions and limitations.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42"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Pursuant to the amended and restated investors’ rights agreement, if we register any of our securities either for our own account or for the account of other security holders, the holders of our common stock, including those issuable upon the conversion of our preferred units, are entitled to include their shares in the registration. Subject to certain exceptions contained in the amended and restated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42"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Our amended and restated investors’ rights agreement contains customary cross-indemnification provisions, under which we are obligated to indemnify holders of registrable securities in the event of material misstatements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20"/>
        <w:spacing w:after="0" w:line="271" w:lineRule="auto"/>
        <w:rPr>
          <w:sz w:val="20"/>
          <w:szCs w:val="20"/>
          <w:color w:val="auto"/>
        </w:rPr>
      </w:pPr>
      <w:r>
        <w:rPr>
          <w:rFonts w:ascii="Arial" w:cs="Arial" w:eastAsia="Arial" w:hAnsi="Arial"/>
          <w:sz w:val="18"/>
          <w:szCs w:val="18"/>
          <w:color w:val="auto"/>
        </w:rPr>
        <w:t>or omissions in the registration statement attributable to us, and they are obligated to indemnify us for material misstatements or omissions attributable to them.</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29" w:lineRule="exact"/>
        <w:rPr>
          <w:sz w:val="20"/>
          <w:szCs w:val="20"/>
          <w:color w:val="auto"/>
        </w:rPr>
      </w:pPr>
    </w:p>
    <w:p>
      <w:pPr>
        <w:ind w:left="120"/>
        <w:spacing w:after="0" w:line="259" w:lineRule="auto"/>
        <w:rPr>
          <w:sz w:val="20"/>
          <w:szCs w:val="20"/>
          <w:color w:val="auto"/>
        </w:rPr>
      </w:pPr>
      <w:r>
        <w:rPr>
          <w:rFonts w:ascii="Arial" w:cs="Arial" w:eastAsia="Arial" w:hAnsi="Arial"/>
          <w:sz w:val="17"/>
          <w:szCs w:val="17"/>
          <w:color w:val="auto"/>
        </w:rPr>
        <w:t>The demand registration rights, and short form registration rights granted under the amended and restated investors’ rights agreement will terminate on the earliest to occur of (a) the closing of certain liquidation events, (b) the fifth anniversary of the completion of this offering or</w:t>
      </w:r>
    </w:p>
    <w:p>
      <w:pPr>
        <w:spacing w:after="0" w:line="1" w:lineRule="exact"/>
        <w:rPr>
          <w:sz w:val="20"/>
          <w:szCs w:val="20"/>
          <w:color w:val="auto"/>
        </w:rPr>
      </w:pPr>
    </w:p>
    <w:p>
      <w:pPr>
        <w:ind w:left="120" w:right="160" w:hanging="4"/>
        <w:spacing w:after="0" w:line="250" w:lineRule="auto"/>
        <w:tabs>
          <w:tab w:leader="none" w:pos="3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 such time after this offering when the holders’ shares may be sold without restriction pursuant to Rule 144 under the Securities Act within a three month period.</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w:t>
      </w:r>
    </w:p>
    <w:p>
      <w:pPr>
        <w:spacing w:after="0" w:line="12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Ordinarily, other than underwriting discounts and commissions, we are generally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blue-sky fees and expenses.</w:t>
      </w:r>
    </w:p>
    <w:p>
      <w:pPr>
        <w:spacing w:after="0" w:line="97" w:lineRule="exact"/>
        <w:rPr>
          <w:sz w:val="20"/>
          <w:szCs w:val="20"/>
          <w:color w:val="auto"/>
        </w:rPr>
      </w:pPr>
    </w:p>
    <w:p>
      <w:pPr>
        <w:ind w:left="120" w:right="620"/>
        <w:spacing w:after="0" w:line="272" w:lineRule="auto"/>
        <w:rPr>
          <w:sz w:val="20"/>
          <w:szCs w:val="20"/>
          <w:color w:val="auto"/>
        </w:rPr>
      </w:pPr>
      <w:r>
        <w:rPr>
          <w:rFonts w:ascii="Arial" w:cs="Arial" w:eastAsia="Arial" w:hAnsi="Arial"/>
          <w:sz w:val="22"/>
          <w:szCs w:val="22"/>
          <w:b w:val="1"/>
          <w:bCs w:val="1"/>
          <w:color w:val="auto"/>
        </w:rPr>
        <w:t>Anti-Takeover Effects of Delaware Law and Certain Provisions of Our Certificate of Incorporation and Bylaws to be in Effect Upon the Completion of this Offering</w:t>
      </w:r>
    </w:p>
    <w:p>
      <w:pPr>
        <w:spacing w:after="0" w:line="71" w:lineRule="exact"/>
        <w:rPr>
          <w:sz w:val="20"/>
          <w:szCs w:val="20"/>
          <w:color w:val="auto"/>
        </w:rPr>
      </w:pPr>
    </w:p>
    <w:p>
      <w:pPr>
        <w:ind w:left="120" w:right="300"/>
        <w:spacing w:after="0" w:line="247" w:lineRule="auto"/>
        <w:rPr>
          <w:sz w:val="20"/>
          <w:szCs w:val="20"/>
          <w:color w:val="auto"/>
        </w:rPr>
      </w:pPr>
      <w:r>
        <w:rPr>
          <w:rFonts w:ascii="Arial" w:cs="Arial" w:eastAsia="Arial" w:hAnsi="Arial"/>
          <w:sz w:val="18"/>
          <w:szCs w:val="18"/>
          <w:color w:val="auto"/>
        </w:rPr>
        <w:t>Some provisions of Delaware law include, and our certificate of incorporation and bylaws to be in effect upon the completion of this offering will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Composition and Filling Vacancies</w:t>
      </w:r>
    </w:p>
    <w:p>
      <w:pPr>
        <w:spacing w:after="0" w:line="142" w:lineRule="exact"/>
        <w:rPr>
          <w:sz w:val="20"/>
          <w:szCs w:val="20"/>
          <w:color w:val="auto"/>
        </w:rPr>
      </w:pPr>
    </w:p>
    <w:p>
      <w:pPr>
        <w:jc w:val="both"/>
        <w:ind w:left="120" w:right="80"/>
        <w:spacing w:after="0" w:line="241" w:lineRule="auto"/>
        <w:rPr>
          <w:sz w:val="20"/>
          <w:szCs w:val="20"/>
          <w:color w:val="auto"/>
        </w:rPr>
      </w:pPr>
      <w:r>
        <w:rPr>
          <w:rFonts w:ascii="Arial" w:cs="Arial" w:eastAsia="Arial" w:hAnsi="Arial"/>
          <w:sz w:val="18"/>
          <w:szCs w:val="18"/>
          <w:color w:val="auto"/>
        </w:rPr>
        <w:t>Our certificate of incorporation will provide for the division of our board of directors into three classes serving staggered three-year terms, with one class being elected each year. Our certificate of incorporation also will provide that directors may be removed only for cause and then only by the affirmative vote of the holders of two-thirds or more of the shares then entitled to vote at an election of directors.</w:t>
      </w:r>
    </w:p>
    <w:p>
      <w:pPr>
        <w:spacing w:after="0" w:line="2"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Written Consent of Stockholders</w:t>
      </w:r>
    </w:p>
    <w:p>
      <w:pPr>
        <w:spacing w:after="0" w:line="142"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Our certificate of incorporation will provide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142"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Our certificate of incorporation and bylaws will provide that only a majority of the members of our board of directors then in office may call special meetings of stockholders and only those matters set forth in the notice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00"/>
          </w:cols>
          <w:pgMar w:left="320" w:top="455" w:right="47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of the special meeting may be considered or acted upon at a special meeting of stockholders. Our bylaws will limit the business that may be conducted at an annual meeting of stockholders to those matters properly brought before the meeting.</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bylaws will establish advance notice procedures with regard to stockholder proposals relating to the nomination of candidates for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election as directors or new business to be brought before meetings of our stockholders. These procedures will provide that notice of</w:t>
      </w:r>
    </w:p>
    <w:p>
      <w:pPr>
        <w:ind w:left="120"/>
        <w:spacing w:after="0" w:line="239" w:lineRule="auto"/>
        <w:rPr>
          <w:sz w:val="20"/>
          <w:szCs w:val="20"/>
          <w:color w:val="auto"/>
        </w:rPr>
      </w:pPr>
      <w:r>
        <w:rPr>
          <w:rFonts w:ascii="Arial" w:cs="Arial" w:eastAsia="Arial" w:hAnsi="Arial"/>
          <w:sz w:val="18"/>
          <w:szCs w:val="18"/>
          <w:color w:val="auto"/>
        </w:rPr>
        <w:t>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will specify the requirements as to form and content of all stockholders’ notices. These requirements may preclude stockholders from bringing matters before the stockholders at an annual or special meeting.</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to Certificate of Incorporation and Bylaws</w:t>
      </w:r>
    </w:p>
    <w:p>
      <w:pPr>
        <w:spacing w:after="0" w:line="12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29" w:lineRule="exact"/>
        <w:rPr>
          <w:sz w:val="20"/>
          <w:szCs w:val="20"/>
          <w:color w:val="auto"/>
        </w:rPr>
      </w:pPr>
    </w:p>
    <w:p>
      <w:pPr>
        <w:ind w:left="120"/>
        <w:spacing w:after="0"/>
        <w:tabs>
          <w:tab w:leader="none" w:pos="4500" w:val="left"/>
        </w:tabs>
        <w:rPr>
          <w:sz w:val="20"/>
          <w:szCs w:val="20"/>
          <w:color w:val="auto"/>
        </w:rPr>
      </w:pPr>
      <w:r>
        <w:rPr>
          <w:rFonts w:ascii="Arial" w:cs="Arial" w:eastAsia="Arial" w:hAnsi="Arial"/>
          <w:sz w:val="18"/>
          <w:szCs w:val="18"/>
          <w:color w:val="auto"/>
        </w:rPr>
        <w:t>Our certificate of incorporation will provide for</w:t>
      </w:r>
      <w:r>
        <w:rPr>
          <w:sz w:val="20"/>
          <w:szCs w:val="20"/>
          <w:color w:val="auto"/>
        </w:rPr>
        <w:tab/>
      </w:r>
      <w:r>
        <w:rPr>
          <w:rFonts w:ascii="Arial" w:cs="Arial" w:eastAsia="Arial" w:hAnsi="Arial"/>
          <w:sz w:val="17"/>
          <w:szCs w:val="17"/>
          <w:color w:val="auto"/>
        </w:rPr>
        <w:t>authorized shares of preferred stock. The existence of authorized but unissued</w:t>
      </w:r>
    </w:p>
    <w:p>
      <w:pPr>
        <w:spacing w:after="0" w:line="1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will grant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29" w:lineRule="exact"/>
        <w:rPr>
          <w:sz w:val="20"/>
          <w:szCs w:val="20"/>
          <w:color w:val="auto"/>
        </w:rPr>
      </w:pPr>
    </w:p>
    <w:p>
      <w:pPr>
        <w:ind w:left="120" w:right="80"/>
        <w:spacing w:after="0" w:line="245" w:lineRule="auto"/>
        <w:rPr>
          <w:sz w:val="20"/>
          <w:szCs w:val="20"/>
          <w:color w:val="auto"/>
        </w:rPr>
      </w:pPr>
      <w:r>
        <w:rPr>
          <w:rFonts w:ascii="Arial" w:cs="Arial" w:eastAsia="Arial" w:hAnsi="Arial"/>
          <w:sz w:val="18"/>
          <w:szCs w:val="18"/>
          <w:color w:val="auto"/>
        </w:rPr>
        <w:t>Upon completion of this offering, we will be subject to the provisions of Section 203 of the Delaware General Corporation Law. In general, Section 203 prohibits a publicly held Delaware corporation from engaging in a</w:t>
      </w:r>
    </w:p>
    <w:p>
      <w:pPr>
        <w:ind w:left="120"/>
        <w:spacing w:after="0"/>
        <w:rPr>
          <w:sz w:val="20"/>
          <w:szCs w:val="20"/>
          <w:color w:val="auto"/>
        </w:rPr>
      </w:pPr>
      <w:r>
        <w:rPr>
          <w:rFonts w:ascii="Arial" w:cs="Arial" w:eastAsia="Arial" w:hAnsi="Arial"/>
          <w:sz w:val="18"/>
          <w:szCs w:val="18"/>
          <w:color w:val="auto"/>
        </w:rPr>
        <w:t>“business combination” with an “interested stockholder” for a three-year period following the time that this</w:t>
      </w:r>
    </w:p>
    <w:p>
      <w:pPr>
        <w:spacing w:after="0" w:line="12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00"/>
          </w:cols>
          <w:pgMar w:left="320" w:top="455" w:right="47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101" w:lineRule="exact"/>
        <w:rPr>
          <w:sz w:val="20"/>
          <w:szCs w:val="20"/>
          <w:color w:val="auto"/>
        </w:rPr>
      </w:pPr>
    </w:p>
    <w:p>
      <w:pPr>
        <w:ind w:left="340" w:right="300" w:hanging="224"/>
        <w:spacing w:after="0" w:line="271" w:lineRule="auto"/>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86" w:lineRule="exact"/>
        <w:rPr>
          <w:rFonts w:ascii="Arial" w:cs="Arial" w:eastAsia="Arial" w:hAnsi="Arial"/>
          <w:sz w:val="18"/>
          <w:szCs w:val="18"/>
          <w:color w:val="auto"/>
        </w:rPr>
      </w:pPr>
    </w:p>
    <w:p>
      <w:pPr>
        <w:ind w:left="340" w:hanging="224"/>
        <w:spacing w:after="0" w:line="247" w:lineRule="auto"/>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percent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06" w:lineRule="exact"/>
        <w:rPr>
          <w:rFonts w:ascii="Arial" w:cs="Arial" w:eastAsia="Arial" w:hAnsi="Arial"/>
          <w:sz w:val="18"/>
          <w:szCs w:val="18"/>
          <w:color w:val="auto"/>
        </w:rPr>
      </w:pPr>
    </w:p>
    <w:p>
      <w:pPr>
        <w:ind w:left="340" w:right="320" w:hanging="224"/>
        <w:spacing w:after="0" w:line="253" w:lineRule="auto"/>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203 defines a business combination to include:</w:t>
      </w:r>
    </w:p>
    <w:p>
      <w:pPr>
        <w:spacing w:after="0" w:line="144" w:lineRule="exact"/>
        <w:rPr>
          <w:sz w:val="20"/>
          <w:szCs w:val="20"/>
          <w:color w:val="auto"/>
        </w:rPr>
      </w:pPr>
    </w:p>
    <w:p>
      <w:pPr>
        <w:ind w:left="340" w:hanging="224"/>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44" w:lineRule="exact"/>
        <w:rPr>
          <w:rFonts w:ascii="Arial" w:cs="Arial" w:eastAsia="Arial" w:hAnsi="Arial"/>
          <w:sz w:val="18"/>
          <w:szCs w:val="18"/>
          <w:color w:val="auto"/>
        </w:rPr>
      </w:pPr>
    </w:p>
    <w:p>
      <w:pPr>
        <w:ind w:left="340" w:right="60" w:hanging="224"/>
        <w:spacing w:after="0" w:line="271"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sale, transfer, lease, pledge, exchange, mortgage or other disposition involving the interested stockholder of 10 percent or more of the assets of the corporation;</w:t>
      </w:r>
    </w:p>
    <w:p>
      <w:pPr>
        <w:spacing w:after="0" w:line="86" w:lineRule="exact"/>
        <w:rPr>
          <w:rFonts w:ascii="Arial" w:cs="Arial" w:eastAsia="Arial" w:hAnsi="Arial"/>
          <w:sz w:val="18"/>
          <w:szCs w:val="18"/>
          <w:color w:val="auto"/>
        </w:rPr>
      </w:pPr>
    </w:p>
    <w:p>
      <w:pPr>
        <w:ind w:left="340" w:right="240" w:hanging="224"/>
        <w:spacing w:after="0" w:line="271"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 or</w:t>
      </w:r>
    </w:p>
    <w:p>
      <w:pPr>
        <w:spacing w:after="0" w:line="86" w:lineRule="exact"/>
        <w:rPr>
          <w:rFonts w:ascii="Arial" w:cs="Arial" w:eastAsia="Arial" w:hAnsi="Arial"/>
          <w:sz w:val="18"/>
          <w:szCs w:val="18"/>
          <w:color w:val="auto"/>
        </w:rPr>
      </w:pPr>
    </w:p>
    <w:p>
      <w:pPr>
        <w:ind w:left="340" w:right="40" w:hanging="224"/>
        <w:spacing w:after="0" w:line="271"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86" w:lineRule="exact"/>
        <w:rPr>
          <w:sz w:val="20"/>
          <w:szCs w:val="20"/>
          <w:color w:val="auto"/>
        </w:rPr>
      </w:pPr>
    </w:p>
    <w:p>
      <w:pPr>
        <w:ind w:left="120" w:right="520"/>
        <w:spacing w:after="0" w:line="301"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percent or more of the outstanding voting stock of the corporation and any entity or person affiliated with or controlling or controlled by the entity or person.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Choice of Forum</w:t>
      </w:r>
    </w:p>
    <w:p>
      <w:pPr>
        <w:spacing w:after="0" w:line="148" w:lineRule="exact"/>
        <w:rPr>
          <w:sz w:val="20"/>
          <w:szCs w:val="20"/>
          <w:color w:val="auto"/>
        </w:rPr>
      </w:pPr>
    </w:p>
    <w:p>
      <w:pPr>
        <w:ind w:left="120" w:right="100"/>
        <w:spacing w:after="0" w:line="259" w:lineRule="auto"/>
        <w:rPr>
          <w:sz w:val="20"/>
          <w:szCs w:val="20"/>
          <w:color w:val="auto"/>
        </w:rPr>
      </w:pPr>
      <w:r>
        <w:rPr>
          <w:rFonts w:ascii="Arial" w:cs="Arial" w:eastAsia="Arial" w:hAnsi="Arial"/>
          <w:sz w:val="17"/>
          <w:szCs w:val="17"/>
          <w:color w:val="auto"/>
        </w:rPr>
        <w:t>Our bylaws will provide that, unless we consent in writing to the selection of an alternative forum, the Court of Chancery of the State of Delaware shall be the sole and exclusive forum for any state law claims for (1) any derivative action or proceeding brought on our behalf,</w:t>
      </w:r>
    </w:p>
    <w:p>
      <w:pPr>
        <w:spacing w:after="0" w:line="1" w:lineRule="exact"/>
        <w:rPr>
          <w:sz w:val="20"/>
          <w:szCs w:val="20"/>
          <w:color w:val="auto"/>
        </w:rPr>
      </w:pPr>
    </w:p>
    <w:p>
      <w:pPr>
        <w:ind w:left="120" w:hanging="4"/>
        <w:spacing w:after="0" w:line="236" w:lineRule="auto"/>
        <w:tabs>
          <w:tab w:leader="none" w:pos="39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and employees to us or our stockholders, (3) any action asserting a claim arising pursuant to the Delaware General Corporation Law, our certificate of incorporation or our bylaws (including the interpretation, validity or enforceability thereof), or (4) any action asserting a claim that is governed by the internal affairs doctrine; provided, however, that the this provision shall not apply to any causes of action arising under the Securities Act or Exchange Act. In addition, our bylaws will provide that, unless we consent in writing to the selection of an alternative forum, the federal district courts of the United States shall be the sole and exclusive forum for resolving any complaint asserting a cause of action arising under the Securities Act. Any person or entity purchasing or otherwise acquiring any interest in our securities shall be deemed to have notice of and consented to these forum provisions. These forum provisions may impose additional costs on stockholders, may limit our stockholders’ ability to bring a claim in a forum they find favorable, and the designated courts may reach different judgments or results than other courts. In addition, there is uncertainty as to whether the federal forum provision for Securities Act claims will be enforced, which may impose additional costs on us and our stockholders.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080"/>
          </w:cols>
          <w:pgMar w:left="320" w:top="455" w:right="49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Stock Exchange Listing</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intend to apply to list our common stock on the Nasdaq Global Select Market under the proposed trading symbol “MGX.”</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Transfer Agent and Registrar</w:t>
      </w:r>
    </w:p>
    <w:p>
      <w:pPr>
        <w:spacing w:after="0" w:line="148" w:lineRule="exact"/>
        <w:rPr>
          <w:sz w:val="20"/>
          <w:szCs w:val="20"/>
          <w:color w:val="auto"/>
        </w:rPr>
      </w:pPr>
    </w:p>
    <w:p>
      <w:pPr>
        <w:ind w:left="120"/>
        <w:spacing w:after="0"/>
        <w:tabs>
          <w:tab w:leader="none" w:pos="5900" w:val="left"/>
        </w:tabs>
        <w:rPr>
          <w:sz w:val="20"/>
          <w:szCs w:val="20"/>
          <w:color w:val="auto"/>
        </w:rPr>
      </w:pPr>
      <w:r>
        <w:rPr>
          <w:rFonts w:ascii="Arial" w:cs="Arial" w:eastAsia="Arial" w:hAnsi="Arial"/>
          <w:sz w:val="18"/>
          <w:szCs w:val="18"/>
          <w:color w:val="auto"/>
        </w:rPr>
        <w:t>The Transfer Agent and Registrar for our common stock will be</w:t>
      </w:r>
      <w:r>
        <w:rPr>
          <w:sz w:val="20"/>
          <w:szCs w:val="20"/>
          <w:color w:val="auto"/>
        </w:rPr>
        <w:tab/>
      </w:r>
      <w:r>
        <w:rPr>
          <w:rFonts w:ascii="Arial" w:cs="Arial" w:eastAsia="Arial" w:hAnsi="Arial"/>
          <w:sz w:val="13"/>
          <w:szCs w:val="13"/>
          <w:color w:val="auto"/>
        </w:rPr>
        <w:t>.</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0139"/>
          </w:cols>
          <w:pgMar w:left="320" w:top="455" w:right="1440"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SHARES ELIGIBLE FOR FUTURE SALE</w:t>
      </w:r>
    </w:p>
    <w:p>
      <w:pPr>
        <w:spacing w:after="0" w:line="168"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Prior to this offering, there has been no public market for our shares.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shares of our common stock in the public market after such restrictions lapse, or the perception that those sales may occur, could adversely affect the prevailing market price at such time and our ability to raise equity capital in the future.</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Based on the number of shares outstanding as of March 31, 2023, upon the completion of this offering and after giving effect to the</w:t>
      </w:r>
    </w:p>
    <w:p>
      <w:pPr>
        <w:spacing w:after="0" w:line="14"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Reorganization, shares of our common stock will be outstanding, assuming the issuance of shares offered by us in this offering, no exercise of the underwriters’ option to purchase additional shares and no exercise of outstanding options. Of the outstanding shares, all of the shares sold in this offering will be freely tradable, except that any shares held by our affiliates, as that term is defined in Rule 144 under the Securities Act, may only be sold in compliance with the limitations described below, and restricted shares of common stock are subject to time-based vesting terms. All remaining shares of common stock held by existing stockholders immediately prior to the completion of this offering will be “restricted securities” as such term is defined in Rule 144 under the Securities Act.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summarized below.</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144</w:t>
      </w:r>
    </w:p>
    <w:p>
      <w:pPr>
        <w:spacing w:after="0" w:line="148" w:lineRule="exact"/>
        <w:rPr>
          <w:sz w:val="20"/>
          <w:szCs w:val="20"/>
          <w:color w:val="auto"/>
        </w:rPr>
      </w:pPr>
    </w:p>
    <w:p>
      <w:pPr>
        <w:ind w:left="120" w:right="40"/>
        <w:spacing w:after="0" w:line="259" w:lineRule="auto"/>
        <w:rPr>
          <w:sz w:val="20"/>
          <w:szCs w:val="20"/>
          <w:color w:val="auto"/>
        </w:rPr>
      </w:pPr>
      <w:r>
        <w:rPr>
          <w:rFonts w:ascii="Arial" w:cs="Arial" w:eastAsia="Arial" w:hAnsi="Arial"/>
          <w:sz w:val="17"/>
          <w:szCs w:val="17"/>
          <w:color w:val="auto"/>
        </w:rPr>
        <w:t>In general, a person who has beneficially owned restricted stock for at least six months would be entitled to sell their securities provided that (i) such person is not deemed to have been one of our affiliates at the time of, or at any time during the 90 days preceding, a sale and</w:t>
      </w:r>
    </w:p>
    <w:p>
      <w:pPr>
        <w:spacing w:after="0" w:line="1" w:lineRule="exact"/>
        <w:rPr>
          <w:sz w:val="20"/>
          <w:szCs w:val="20"/>
          <w:color w:val="auto"/>
        </w:rPr>
      </w:pPr>
    </w:p>
    <w:p>
      <w:pPr>
        <w:ind w:left="120" w:right="80" w:hanging="4"/>
        <w:spacing w:after="0"/>
        <w:tabs>
          <w:tab w:leader="none" w:pos="37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are subject to the periodic reporting requirements of the Exchange Act for at least 90 days before the sale. Persons who have beneficially owned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13" w:lineRule="exact"/>
        <w:rPr>
          <w:sz w:val="20"/>
          <w:szCs w:val="20"/>
          <w:color w:val="auto"/>
        </w:rPr>
      </w:pPr>
    </w:p>
    <w:p>
      <w:pPr>
        <w:ind w:left="340" w:right="400" w:hanging="219"/>
        <w:spacing w:after="0" w:line="253" w:lineRule="auto"/>
        <w:tabs>
          <w:tab w:leader="none" w:pos="320" w:val="left"/>
        </w:tabs>
        <w:rPr>
          <w:sz w:val="20"/>
          <w:szCs w:val="20"/>
          <w:color w:val="auto"/>
        </w:rPr>
      </w:pPr>
      <w:r>
        <w:rPr>
          <w:rFonts w:ascii="Arial" w:cs="Arial" w:eastAsia="Arial" w:hAnsi="Arial"/>
          <w:sz w:val="18"/>
          <w:szCs w:val="18"/>
          <w:color w:val="auto"/>
        </w:rPr>
        <w:t>•</w:t>
        <w:tab/>
        <w:t>1 percent of the number of shares then outstanding, which will equal approximately shares immediately after this offering, assuming no exercise of the underwriters’ option to purchase additional shares, based on the number of shares outstanding as of March 31, 2023; or</w:t>
      </w:r>
    </w:p>
    <w:p>
      <w:pPr>
        <w:spacing w:after="0" w:line="101" w:lineRule="exact"/>
        <w:rPr>
          <w:sz w:val="20"/>
          <w:szCs w:val="20"/>
          <w:color w:val="auto"/>
        </w:rPr>
      </w:pPr>
    </w:p>
    <w:p>
      <w:pPr>
        <w:ind w:left="340" w:hanging="224"/>
        <w:spacing w:after="0" w:line="271"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on Form 144 with respect to the sale;</w:t>
      </w:r>
    </w:p>
    <w:p>
      <w:pPr>
        <w:spacing w:after="0" w:line="73"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provided, in each case, that we are subject to the periodic reporting requirements of the Exchange Act for at least 90 days before the sale. Such sales both by affiliates and by non-affiliates must also comply with the manner of sale, current public information and notice provisions of Rule 144.</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701</w:t>
      </w:r>
    </w:p>
    <w:p>
      <w:pPr>
        <w:spacing w:after="0" w:line="135"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301" w:lineRule="auto"/>
        <w:rPr>
          <w:sz w:val="20"/>
          <w:szCs w:val="20"/>
          <w:color w:val="auto"/>
        </w:rPr>
      </w:pPr>
      <w:r>
        <w:rPr>
          <w:rFonts w:ascii="Arial" w:cs="Arial" w:eastAsia="Arial" w:hAnsi="Arial"/>
          <w:sz w:val="17"/>
          <w:szCs w:val="17"/>
          <w:color w:val="auto"/>
        </w:rPr>
        <w:t>However, substantially all Rule 701 shares are subject to lock-up agreements as described below and under “Underwriting” included elsewhere in this prospectus and will become eligible for sale upon the expiration of the restrictions set forth in those agreements.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Lock-Up Agreements</w:t>
      </w:r>
    </w:p>
    <w:p>
      <w:pPr>
        <w:spacing w:after="0" w:line="135"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We, all of our directors and officers, and substantially all of our stockholders have agreed not to sell or otherwise transfer or dispose of any of our securities for a period of 180 days from the date of this prospectus, subject to certain exceptions. The representatives of the underwriters may, in their sole discretion, permit early release of shares subject to the lock-up agreements. See the section entitled “Underwriting,” included elsewhere in this prospectus for more information.</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Rights</w:t>
      </w:r>
    </w:p>
    <w:p>
      <w:pPr>
        <w:spacing w:after="0" w:line="135"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See the section entitled “Description of Capital Stock—Registration Rights” included elsewhere in this prospectus for more information.</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Equity Incentive Plans</w:t>
      </w:r>
    </w:p>
    <w:p>
      <w:pPr>
        <w:spacing w:after="0" w:line="135"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our shares issued or reserved for issuance under our equity incentive plans. The first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 As of the date of this prospectus, we estimate that such registration statement on Form S-8 will cover</w:t>
      </w:r>
    </w:p>
    <w:p>
      <w:pPr>
        <w:spacing w:after="0" w:line="4"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shares.</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right="820"/>
        <w:spacing w:after="0" w:line="288" w:lineRule="auto"/>
        <w:rPr>
          <w:sz w:val="20"/>
          <w:szCs w:val="20"/>
          <w:color w:val="auto"/>
        </w:rPr>
      </w:pPr>
      <w:r>
        <w:rPr>
          <w:rFonts w:ascii="Arial" w:cs="Arial" w:eastAsia="Arial" w:hAnsi="Arial"/>
          <w:sz w:val="29"/>
          <w:szCs w:val="29"/>
          <w:b w:val="1"/>
          <w:bCs w:val="1"/>
          <w:color w:val="auto"/>
        </w:rPr>
        <w:t>MATERIAL U.S. FEDERAL INCOME TAX CONSIDERATIONS FOR NON-U.S. HOLDERS</w:t>
      </w:r>
    </w:p>
    <w:p>
      <w:pPr>
        <w:spacing w:after="0" w:line="38"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The following discussion is a summary of certain material U.S. federal income tax considerations applicable to non-U.S. holders (as defined below) with respect to their ownership and disposition of shares of our common stock issued pursuant to this offering, referred to below as “our common stock”. For purposes of this discussion, a non-U.S. holder means a beneficial owner of our common stock that is for U.S. federal income tax purposes:</w:t>
      </w:r>
    </w:p>
    <w:p>
      <w:pPr>
        <w:spacing w:after="0" w:line="106" w:lineRule="exact"/>
        <w:rPr>
          <w:sz w:val="20"/>
          <w:szCs w:val="20"/>
          <w:color w:val="auto"/>
        </w:rPr>
      </w:pPr>
    </w:p>
    <w:p>
      <w:pPr>
        <w:ind w:left="340" w:hanging="224"/>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foreign corporation or other foreign organization taxable as a corporation; or</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foreign trust or estate the income of which is not subject to U.S. federal income tax on a net income basis.</w:t>
      </w:r>
    </w:p>
    <w:p>
      <w:pPr>
        <w:spacing w:after="0" w:line="144" w:lineRule="exact"/>
        <w:rPr>
          <w:sz w:val="20"/>
          <w:szCs w:val="20"/>
          <w:color w:val="auto"/>
        </w:rPr>
      </w:pPr>
    </w:p>
    <w:p>
      <w:pPr>
        <w:ind w:left="120" w:right="100"/>
        <w:spacing w:after="0" w:line="266" w:lineRule="auto"/>
        <w:rPr>
          <w:sz w:val="20"/>
          <w:szCs w:val="20"/>
          <w:color w:val="auto"/>
        </w:rPr>
      </w:pPr>
      <w:r>
        <w:rPr>
          <w:rFonts w:ascii="Arial" w:cs="Arial" w:eastAsia="Arial" w:hAnsi="Arial"/>
          <w:sz w:val="17"/>
          <w:szCs w:val="17"/>
          <w:color w:val="auto"/>
        </w:rPr>
        <w:t>This discussion does not address the tax treatment of partnerships or other entities that are pass-through entities for U.S. federal income tax purposes or persons that hold their common stock through partnerships or other pass-through entities.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78"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herein. We assume in this discussion that a non-U.S. holder holds shares of our common stock as a capital asset within the meaning of Section 1221 of the Code, generally property held for investment.</w:t>
      </w:r>
    </w:p>
    <w:p>
      <w:pPr>
        <w:spacing w:after="0" w:line="117"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This discussion does not address all aspects of U.S. federal income taxation that may be relevant to a particular non-U.S. holder in light of that non-U.S. holder’s individual circumstances nor does it address any aspects of U.S. state, local or non-U.S. taxes, the alternative minimum tax, the Medicare contribution tax on net investment income, the rules regarding qualified small business stock within the meaning of Section 1202 of the Code, or any other aspect of any U.S. federal tax other than income taxes. This discussion also does not consider any specific facts or circumstances that may apply to a non-U.S. holder and does not address the special tax rules applicable to particular non-U.S. holders, such as:</w:t>
      </w:r>
    </w:p>
    <w:p>
      <w:pPr>
        <w:spacing w:after="0" w:line="111" w:lineRule="exact"/>
        <w:rPr>
          <w:sz w:val="20"/>
          <w:szCs w:val="20"/>
          <w:color w:val="auto"/>
        </w:rPr>
      </w:pPr>
    </w:p>
    <w:p>
      <w:pPr>
        <w:ind w:left="340" w:hanging="224"/>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“regulated investment companies” and “real estate investment trusts”;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44" w:lineRule="exact"/>
        <w:rPr>
          <w:rFonts w:ascii="Arial" w:cs="Arial" w:eastAsia="Arial" w:hAnsi="Arial"/>
          <w:sz w:val="18"/>
          <w:szCs w:val="18"/>
          <w:color w:val="auto"/>
        </w:rPr>
      </w:pPr>
    </w:p>
    <w:p>
      <w:pPr>
        <w:ind w:left="340" w:right="360" w:hanging="224"/>
        <w:spacing w:after="0" w:line="271"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“qualified foreign pension funds,” or entities wholly owned by a “qualified foreign pension fund”;</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080"/>
          </w:cols>
          <w:pgMar w:left="320" w:top="455" w:right="4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right="60" w:hanging="224"/>
        <w:spacing w:after="0" w:line="271" w:lineRule="auto"/>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partners and investors therein);</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for U.S. federal income tax purposes;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persons that hold our common stock as part of a straddle, conversion transaction, synthetic security, or other integrated investment; and</w:t>
      </w:r>
    </w:p>
    <w:p>
      <w:pPr>
        <w:spacing w:after="0" w:line="155" w:lineRule="exact"/>
        <w:rPr>
          <w:rFonts w:ascii="Arial" w:cs="Arial" w:eastAsia="Arial" w:hAnsi="Arial"/>
          <w:sz w:val="17"/>
          <w:szCs w:val="17"/>
          <w:color w:val="auto"/>
        </w:rPr>
      </w:pPr>
    </w:p>
    <w:p>
      <w:pPr>
        <w:ind w:left="340" w:hanging="224"/>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44"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This discussion is for general information only and is not tax advice. Accordingly, all prospective non-U.S. holders of our common stock should consult their tax advisors with respect to the U.S. federal, state, local and non-U.S. tax consequences of the purchase, ownership and disposition of our common stock.</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Distributions on Our Common Stock</w:t>
      </w:r>
    </w:p>
    <w:p>
      <w:pPr>
        <w:spacing w:after="0" w:line="135"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have never declared or paid any cash distributions on our members’ capital, and we do not anticipate paying cash distributions on our common stock for the foreseeable future. Distributions, if any, on our common stock will generally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or Other Taxable Disposition of Our Common Stock.” Any such distributions will also be subject to the discussions below under the sections entitled “Backup Withholding and Information Reporting” and “Withholding and Information Reporting Requirements—FATCA.”</w:t>
      </w:r>
    </w:p>
    <w:p>
      <w:pPr>
        <w:spacing w:after="0" w:line="113" w:lineRule="exact"/>
        <w:rPr>
          <w:sz w:val="20"/>
          <w:szCs w:val="20"/>
          <w:color w:val="auto"/>
        </w:rPr>
      </w:pPr>
    </w:p>
    <w:p>
      <w:pPr>
        <w:ind w:left="120" w:right="300"/>
        <w:spacing w:after="0" w:line="253" w:lineRule="auto"/>
        <w:rPr>
          <w:sz w:val="20"/>
          <w:szCs w:val="20"/>
          <w:color w:val="auto"/>
        </w:rPr>
      </w:pPr>
      <w:r>
        <w:rPr>
          <w:rFonts w:ascii="Arial" w:cs="Arial" w:eastAsia="Arial" w:hAnsi="Arial"/>
          <w:sz w:val="18"/>
          <w:szCs w:val="18"/>
          <w:color w:val="auto"/>
        </w:rPr>
        <w:t>Subject to the discussion in the following two paragraphs in this section, dividends paid to a non-U.S. holder generally will be subject to withholding of U.S. federal income tax at a 30 percent rate or a reduced rate specified by an applicable income tax treaty between the United States and such holder’s country of residence.</w:t>
      </w:r>
    </w:p>
    <w:p>
      <w:pPr>
        <w:spacing w:after="0" w:line="101"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percent withholding tax if the non-U.S. holder satisfies applicable certification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percent rate or a reduced rate specified by an applicable income tax treaty between the United States and such holder’s country of residence.</w:t>
      </w:r>
    </w:p>
    <w:p>
      <w:pPr>
        <w:spacing w:after="0" w:line="99"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other applicable or successor form) to the applicable withholding agent and satisfy applicable certification and other requirements. Any documentation provided to an applicable withholding agent may need to be updated in certain circumstances.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an appropriate claim with the IRS.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140"/>
          </w:cols>
          <w:pgMar w:left="320" w:top="455" w:right="4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Gain on Sale or Other Taxable Disposition of Our Common Stock</w:t>
      </w:r>
    </w:p>
    <w:p>
      <w:pPr>
        <w:spacing w:after="0" w:line="148"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Subject to the discussions below under “Backup Withholding and Information Reporting” and “Withholding and Information Reporting Requirements—FATCA,” a non-U.S. holder generally will not be subject to any U.S. federal income or withholding tax on any gain realized upon such holder’s sale or other taxable disposition of shares of our common stock unless:</w:t>
      </w:r>
    </w:p>
    <w:p>
      <w:pPr>
        <w:spacing w:after="0" w:line="101" w:lineRule="exact"/>
        <w:rPr>
          <w:sz w:val="20"/>
          <w:szCs w:val="20"/>
          <w:color w:val="auto"/>
        </w:rPr>
      </w:pPr>
    </w:p>
    <w:p>
      <w:pPr>
        <w:ind w:left="340" w:right="80" w:hanging="224"/>
        <w:spacing w:after="0" w:line="244"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U.S. trade or business and, if an applicable income tax treaty so provides, is attributable to a permanent establishment or a fixed base 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108" w:lineRule="exact"/>
        <w:rPr>
          <w:rFonts w:ascii="Arial" w:cs="Arial" w:eastAsia="Arial" w:hAnsi="Arial"/>
          <w:sz w:val="18"/>
          <w:szCs w:val="18"/>
          <w:color w:val="auto"/>
        </w:rPr>
      </w:pPr>
    </w:p>
    <w:p>
      <w:pPr>
        <w:ind w:left="340" w:right="40" w:hanging="224"/>
        <w:spacing w:after="0" w:line="259" w:lineRule="auto"/>
        <w:tabs>
          <w:tab w:leader="none" w:pos="3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non-U.S. holder is a nonresident alien individual who is present in the United States for a period or periods aggregating 183 days or more in the taxable year of the disposition and certain other conditions are met, in which case the non-U.S. holder will be subject to a</w:t>
      </w:r>
    </w:p>
    <w:p>
      <w:pPr>
        <w:spacing w:after="0" w:line="1" w:lineRule="exact"/>
        <w:rPr>
          <w:rFonts w:ascii="Arial" w:cs="Arial" w:eastAsia="Arial" w:hAnsi="Arial"/>
          <w:sz w:val="17"/>
          <w:szCs w:val="17"/>
          <w:color w:val="auto"/>
        </w:rPr>
      </w:pPr>
    </w:p>
    <w:p>
      <w:pPr>
        <w:ind w:left="340" w:right="80"/>
        <w:spacing w:after="0"/>
        <w:rPr>
          <w:rFonts w:ascii="Arial" w:cs="Arial" w:eastAsia="Arial" w:hAnsi="Arial"/>
          <w:sz w:val="17"/>
          <w:szCs w:val="17"/>
          <w:color w:val="auto"/>
        </w:rPr>
      </w:pPr>
      <w:r>
        <w:rPr>
          <w:rFonts w:ascii="Arial" w:cs="Arial" w:eastAsia="Arial" w:hAnsi="Arial"/>
          <w:sz w:val="18"/>
          <w:szCs w:val="18"/>
          <w:color w:val="auto"/>
        </w:rPr>
        <w:t>30 percent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112" w:lineRule="exact"/>
        <w:rPr>
          <w:rFonts w:ascii="Arial" w:cs="Arial" w:eastAsia="Arial" w:hAnsi="Arial"/>
          <w:sz w:val="17"/>
          <w:szCs w:val="17"/>
          <w:color w:val="auto"/>
        </w:rPr>
      </w:pPr>
    </w:p>
    <w:p>
      <w:pPr>
        <w:ind w:left="340" w:hanging="224"/>
        <w:spacing w:after="0" w:line="239"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we are, or have been, at any time during the five-year period preceding such sale or other taxable disposition (or the non-U.S. holder’s holding period, if shorter) a “U.S. real property holding corporation,” as described below, unless our common stock is regularly traded on an established securities market and the non-U.S. holder holds no more than 5 percent of our outstanding common stock, directly or indirectly, actually or constructively, during the shorter of the 5-year period ending on the date of the disposition or the period that the non-U.S. holder held our common stock. Generally, a corporation is a U.S. real property holding corporation if the fair market value of its U.S. real property interests, as defined in the Code and applicable Treasury regulations, equals or exceeds 50 percent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Backup Withholding and Information Reporting</w:t>
      </w:r>
    </w:p>
    <w:p>
      <w:pPr>
        <w:spacing w:after="0" w:line="148"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We (or the applicable paying agent) must report annually to the IRS and to each non-U.S. holder the gross amount of the distributions on our common stock paid to such holder and the tax withheld, if any, with respect to such distributions. A non-U.S. holder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111" w:lineRule="exact"/>
        <w:rPr>
          <w:sz w:val="20"/>
          <w:szCs w:val="20"/>
          <w:color w:val="auto"/>
        </w:rPr>
      </w:pPr>
    </w:p>
    <w:p>
      <w:pPr>
        <w:ind w:left="120" w:right="200"/>
        <w:spacing w:after="0" w:line="266" w:lineRule="auto"/>
        <w:rPr>
          <w:sz w:val="20"/>
          <w:szCs w:val="20"/>
          <w:color w:val="auto"/>
        </w:rPr>
      </w:pPr>
      <w:r>
        <w:rPr>
          <w:rFonts w:ascii="Arial" w:cs="Arial" w:eastAsia="Arial" w:hAnsi="Arial"/>
          <w:sz w:val="17"/>
          <w:szCs w:val="17"/>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w:t>
      </w:r>
    </w:p>
    <w:p>
      <w:pPr>
        <w:spacing w:after="0" w:line="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20"/>
          </w:cols>
          <w:pgMar w:left="320" w:top="455" w:right="4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a non-U.S. office of a broker. However, for information reporting purposes, dispositions effected through a non-U.S. office of a broker with substantial U.S. ownership or operations generally will be treated in a manner similar to dispositions effected through a U.S. office of a broker.</w:t>
      </w:r>
    </w:p>
    <w:p>
      <w:pPr>
        <w:spacing w:after="0" w:line="101"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Withholding and Information Reporting Requirements—FATCA</w:t>
      </w:r>
    </w:p>
    <w:p>
      <w:pPr>
        <w:spacing w:after="0" w:line="148" w:lineRule="exact"/>
        <w:rPr>
          <w:sz w:val="20"/>
          <w:szCs w:val="20"/>
          <w:color w:val="auto"/>
        </w:rPr>
      </w:pPr>
    </w:p>
    <w:p>
      <w:pPr>
        <w:ind w:left="120" w:right="160"/>
        <w:spacing w:after="0" w:line="253" w:lineRule="auto"/>
        <w:rPr>
          <w:sz w:val="20"/>
          <w:szCs w:val="20"/>
          <w:color w:val="auto"/>
        </w:rPr>
      </w:pPr>
      <w:r>
        <w:rPr>
          <w:rFonts w:ascii="Arial" w:cs="Arial" w:eastAsia="Arial" w:hAnsi="Arial"/>
          <w:sz w:val="17"/>
          <w:szCs w:val="17"/>
          <w:color w:val="auto"/>
        </w:rPr>
        <w:t>Provisions of the Code commonly referred to as the Foreign Account Tax Compliance Act (FATCA) generally impose a U.S. federal withholding tax at a rate of 30 percent on payments of dividends on, or, subject to the discussion of certain proposed U.S. Treasury regulations below, gross proceeds from the sale or other disposition of,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w:t>
      </w:r>
    </w:p>
    <w:p>
      <w:pPr>
        <w:ind w:left="120" w:hanging="4"/>
        <w:spacing w:after="0" w:line="248" w:lineRule="auto"/>
        <w:tabs>
          <w:tab w:leader="none" w:pos="41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foreign entity is otherwise exempt under FATCA. However, the U.S. Treasury released proposed regulations which, if finalized in their present form, would eliminate the federal withholding tax of 30 percent applicable to the gross proceeds of a sale or other disposition of our common stock. In the preamble to such proposed regulations, the U.S. Treasury stated that taxpayers (including withholding agents) may generally rely on the proposed regulations until final regulations are issued.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w:t>
      </w:r>
    </w:p>
    <w:p>
      <w:pPr>
        <w:spacing w:after="0" w:line="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30 percent withholding tax under FATCA.</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UNDERWRITING</w:t>
      </w:r>
    </w:p>
    <w:p>
      <w:pPr>
        <w:spacing w:after="0" w:line="168"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We are offering the shares of common stock described in this prospectus through a number of underwriters. J.P. Morgan Securities LLC, Jefferies LLC, Cowen and Company, LLC, Wells Fargo Securities, LLC, and BMO Capital Markets Corp.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699516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Number of</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shares of</w:t>
      </w:r>
    </w:p>
    <w:p>
      <w:pPr>
        <w:spacing w:after="0" w:line="5"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10795</wp:posOffset>
            </wp:positionV>
            <wp:extent cx="69608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9220" w:space="720"/>
            <w:col w:w="1160"/>
          </w:cols>
          <w:pgMar w:left="320" w:top="455" w:right="47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J.P. Morgan Securities LLC</w:t>
      </w:r>
    </w:p>
    <w:p>
      <w:pPr>
        <w:ind w:left="120"/>
        <w:spacing w:after="0" w:line="237" w:lineRule="auto"/>
        <w:rPr>
          <w:sz w:val="20"/>
          <w:szCs w:val="20"/>
          <w:color w:val="auto"/>
        </w:rPr>
      </w:pPr>
      <w:r>
        <w:rPr>
          <w:rFonts w:ascii="Arial" w:cs="Arial" w:eastAsia="Arial" w:hAnsi="Arial"/>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Cowen and Company, LLC</w:t>
      </w:r>
    </w:p>
    <w:p>
      <w:pPr>
        <w:ind w:left="120"/>
        <w:spacing w:after="0" w:line="234" w:lineRule="auto"/>
        <w:rPr>
          <w:sz w:val="20"/>
          <w:szCs w:val="20"/>
          <w:color w:val="auto"/>
        </w:rPr>
      </w:pPr>
      <w:r>
        <w:rPr>
          <w:rFonts w:ascii="Arial" w:cs="Arial" w:eastAsia="Arial" w:hAnsi="Arial"/>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BMO Capital Markets Corp.</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3175</wp:posOffset>
            </wp:positionV>
            <wp:extent cx="7289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20320</wp:posOffset>
            </wp:positionV>
            <wp:extent cx="7289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9"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auto"/>
        </w:rPr>
        <w:t>The underwriters are committed to purchase all the shares of common stock offered by us if they purchase any shares of common stock. The underwriting agreement also provides that if an underwriter defaults, the purchase commitments of non-defaulting underwriters may also be increased, or the offering may be terminated.</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underwriters propose to offer the shares of common stock directly to the public at the initial public offering price set forth on the cover</w:t>
      </w:r>
    </w:p>
    <w:p>
      <w:pPr>
        <w:spacing w:after="0" w:line="14" w:lineRule="exact"/>
        <w:rPr>
          <w:sz w:val="20"/>
          <w:szCs w:val="20"/>
          <w:color w:val="auto"/>
        </w:rPr>
      </w:pPr>
    </w:p>
    <w:p>
      <w:pPr>
        <w:jc w:val="both"/>
        <w:ind w:left="120" w:right="360"/>
        <w:spacing w:after="0" w:line="234" w:lineRule="auto"/>
        <w:rPr>
          <w:sz w:val="20"/>
          <w:szCs w:val="20"/>
          <w:color w:val="auto"/>
        </w:rPr>
      </w:pPr>
      <w:r>
        <w:rPr>
          <w:rFonts w:ascii="Arial" w:cs="Arial" w:eastAsia="Arial" w:hAnsi="Arial"/>
          <w:sz w:val="18"/>
          <w:szCs w:val="18"/>
          <w:color w:val="auto"/>
        </w:rPr>
        <w:t>page of this prospectus and to certain dealers at that price less a concession not in excess of $ per share. Any such dealers may resell shares of common stock to certain other brokers or dealers at a discount of up to $ per share from the initial public offering</w:t>
      </w:r>
    </w:p>
    <w:p>
      <w:pPr>
        <w:spacing w:after="0" w:line="1" w:lineRule="exact"/>
        <w:rPr>
          <w:sz w:val="20"/>
          <w:szCs w:val="20"/>
          <w:color w:val="auto"/>
        </w:rPr>
      </w:pPr>
    </w:p>
    <w:p>
      <w:pPr>
        <w:jc w:val="both"/>
        <w:ind w:left="120" w:right="320"/>
        <w:spacing w:after="0" w:line="242" w:lineRule="auto"/>
        <w:rPr>
          <w:sz w:val="20"/>
          <w:szCs w:val="20"/>
          <w:color w:val="auto"/>
        </w:rPr>
      </w:pPr>
      <w:r>
        <w:rPr>
          <w:rFonts w:ascii="Arial" w:cs="Arial" w:eastAsia="Arial" w:hAnsi="Arial"/>
          <w:sz w:val="18"/>
          <w:szCs w:val="18"/>
          <w:color w:val="auto"/>
        </w:rPr>
        <w:t>price. After the initial offering of the shares of common stock to the public, if all of the shares of common stock are not sold at the initial public offering price, the underwriters may change the offering price and the other selling terms. Sales of any shares of common stock made outside of the United States may be made by affiliates of the underwriters.</w:t>
      </w:r>
    </w:p>
    <w:p>
      <w:pPr>
        <w:spacing w:after="0" w:line="112"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color w:val="auto"/>
        </w:rPr>
        <w:t>The underwriters have an option to buy up to additional shares of common stock from us to cover sales of shares of common stock by the underwriters which exceed the number of shares of common stock specified in the table above. The underwriters have</w:t>
      </w:r>
    </w:p>
    <w:p>
      <w:pPr>
        <w:ind w:left="120" w:right="40"/>
        <w:spacing w:after="0" w:line="239" w:lineRule="auto"/>
        <w:rPr>
          <w:sz w:val="20"/>
          <w:szCs w:val="20"/>
          <w:color w:val="auto"/>
        </w:rPr>
      </w:pPr>
      <w:r>
        <w:rPr>
          <w:rFonts w:ascii="Arial" w:cs="Arial" w:eastAsia="Arial" w:hAnsi="Arial"/>
          <w:sz w:val="18"/>
          <w:szCs w:val="18"/>
          <w:color w:val="auto"/>
        </w:rPr>
        <w:t>30 days from the date of this prospectus to exercise this option to purchase additional shares of common stock. If any shares of common stock are purchased with this option to purchase additional shares of common stock, the underwriters will purchase shares of common stock in approximately the same proportion as shown in the table above. If any additional shares of common stock are purchased, the underwriters will offer the additional shares of common stock on the same terms as those on which the shares of common stock are being offered.</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100"/>
          </w:cols>
          <w:pgMar w:left="320" w:top="455" w:right="479" w:bottom="1440" w:gutter="0" w:footer="0" w:header="0"/>
          <w:type w:val="continuous"/>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underwriting fee is equal to the public offering price per share of common stock less the amount paid by the underwriters to us per</w:t>
      </w:r>
    </w:p>
    <w:p>
      <w:pPr>
        <w:spacing w:after="0" w:line="14"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share of common stock. The underwriting fee is $ per share. The following table shows the per share and total underwriting discounts and commissions to be paid to the underwriters assuming both no exercise and full exercise of the underwriters’ option to purchase additional shares of common stock.</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80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197"/>
              <w:spacing w:after="0"/>
              <w:rPr>
                <w:sz w:val="20"/>
                <w:szCs w:val="20"/>
                <w:color w:val="auto"/>
              </w:rPr>
            </w:pPr>
            <w:r>
              <w:rPr>
                <w:rFonts w:ascii="Arial" w:cs="Arial" w:eastAsia="Arial" w:hAnsi="Arial"/>
                <w:sz w:val="16"/>
                <w:szCs w:val="16"/>
                <w:b w:val="1"/>
                <w:bCs w:val="1"/>
                <w:color w:val="auto"/>
              </w:rPr>
              <w:t>Without</w:t>
            </w:r>
          </w:p>
        </w:tc>
        <w:tc>
          <w:tcPr>
            <w:tcW w:w="15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With full</w:t>
            </w:r>
          </w:p>
        </w:tc>
      </w:tr>
      <w:tr>
        <w:trPr>
          <w:trHeight w:val="189"/>
        </w:trPr>
        <w:tc>
          <w:tcPr>
            <w:tcW w:w="8080" w:type="dxa"/>
            <w:vAlign w:val="bottom"/>
          </w:tcPr>
          <w:p>
            <w:pPr>
              <w:spacing w:after="0"/>
              <w:rPr>
                <w:sz w:val="16"/>
                <w:szCs w:val="16"/>
                <w:color w:val="auto"/>
              </w:rPr>
            </w:pPr>
          </w:p>
        </w:tc>
        <w:tc>
          <w:tcPr>
            <w:tcW w:w="1440" w:type="dxa"/>
            <w:vAlign w:val="bottom"/>
          </w:tcPr>
          <w:p>
            <w:pPr>
              <w:jc w:val="right"/>
              <w:ind w:right="197"/>
              <w:spacing w:after="0"/>
              <w:rPr>
                <w:sz w:val="20"/>
                <w:szCs w:val="20"/>
                <w:color w:val="auto"/>
              </w:rPr>
            </w:pPr>
            <w:r>
              <w:rPr>
                <w:rFonts w:ascii="Arial" w:cs="Arial" w:eastAsia="Arial" w:hAnsi="Arial"/>
                <w:sz w:val="16"/>
                <w:szCs w:val="16"/>
                <w:b w:val="1"/>
                <w:bCs w:val="1"/>
                <w:color w:val="auto"/>
              </w:rPr>
              <w:t>option to</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option to</w:t>
            </w:r>
          </w:p>
        </w:tc>
      </w:tr>
      <w:tr>
        <w:trPr>
          <w:trHeight w:val="189"/>
        </w:trPr>
        <w:tc>
          <w:tcPr>
            <w:tcW w:w="8080" w:type="dxa"/>
            <w:vAlign w:val="bottom"/>
          </w:tcPr>
          <w:p>
            <w:pPr>
              <w:spacing w:after="0"/>
              <w:rPr>
                <w:sz w:val="16"/>
                <w:szCs w:val="16"/>
                <w:color w:val="auto"/>
              </w:rPr>
            </w:pPr>
          </w:p>
        </w:tc>
        <w:tc>
          <w:tcPr>
            <w:tcW w:w="1440" w:type="dxa"/>
            <w:vAlign w:val="bottom"/>
          </w:tcPr>
          <w:p>
            <w:pPr>
              <w:jc w:val="right"/>
              <w:ind w:right="197"/>
              <w:spacing w:after="0"/>
              <w:rPr>
                <w:sz w:val="20"/>
                <w:szCs w:val="20"/>
                <w:color w:val="auto"/>
              </w:rPr>
            </w:pPr>
            <w:r>
              <w:rPr>
                <w:rFonts w:ascii="Arial" w:cs="Arial" w:eastAsia="Arial" w:hAnsi="Arial"/>
                <w:sz w:val="16"/>
                <w:szCs w:val="16"/>
                <w:b w:val="1"/>
                <w:bCs w:val="1"/>
                <w:color w:val="auto"/>
              </w:rPr>
              <w:t>purchase</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purchase</w:t>
            </w:r>
          </w:p>
        </w:tc>
      </w:tr>
      <w:tr>
        <w:trPr>
          <w:trHeight w:val="189"/>
        </w:trPr>
        <w:tc>
          <w:tcPr>
            <w:tcW w:w="8080" w:type="dxa"/>
            <w:vAlign w:val="bottom"/>
          </w:tcPr>
          <w:p>
            <w:pPr>
              <w:spacing w:after="0"/>
              <w:rPr>
                <w:sz w:val="16"/>
                <w:szCs w:val="16"/>
                <w:color w:val="auto"/>
              </w:rPr>
            </w:pPr>
          </w:p>
        </w:tc>
        <w:tc>
          <w:tcPr>
            <w:tcW w:w="1440" w:type="dxa"/>
            <w:vAlign w:val="bottom"/>
          </w:tcPr>
          <w:p>
            <w:pPr>
              <w:jc w:val="right"/>
              <w:ind w:right="197"/>
              <w:spacing w:after="0"/>
              <w:rPr>
                <w:sz w:val="20"/>
                <w:szCs w:val="20"/>
                <w:color w:val="auto"/>
              </w:rPr>
            </w:pPr>
            <w:r>
              <w:rPr>
                <w:rFonts w:ascii="Arial" w:cs="Arial" w:eastAsia="Arial" w:hAnsi="Arial"/>
                <w:sz w:val="16"/>
                <w:szCs w:val="16"/>
                <w:b w:val="1"/>
                <w:bCs w:val="1"/>
                <w:color w:val="auto"/>
              </w:rPr>
              <w:t>additional</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additional</w:t>
            </w:r>
          </w:p>
        </w:tc>
      </w:tr>
      <w:tr>
        <w:trPr>
          <w:trHeight w:val="189"/>
        </w:trPr>
        <w:tc>
          <w:tcPr>
            <w:tcW w:w="8080" w:type="dxa"/>
            <w:vAlign w:val="bottom"/>
          </w:tcPr>
          <w:p>
            <w:pPr>
              <w:spacing w:after="0"/>
              <w:rPr>
                <w:sz w:val="16"/>
                <w:szCs w:val="16"/>
                <w:color w:val="auto"/>
              </w:rPr>
            </w:pPr>
          </w:p>
        </w:tc>
        <w:tc>
          <w:tcPr>
            <w:tcW w:w="1440" w:type="dxa"/>
            <w:vAlign w:val="bottom"/>
          </w:tcPr>
          <w:p>
            <w:pPr>
              <w:jc w:val="right"/>
              <w:ind w:right="197"/>
              <w:spacing w:after="0"/>
              <w:rPr>
                <w:sz w:val="20"/>
                <w:szCs w:val="20"/>
                <w:color w:val="auto"/>
              </w:rPr>
            </w:pPr>
            <w:r>
              <w:rPr>
                <w:rFonts w:ascii="Arial" w:cs="Arial" w:eastAsia="Arial" w:hAnsi="Arial"/>
                <w:sz w:val="16"/>
                <w:szCs w:val="16"/>
                <w:b w:val="1"/>
                <w:bCs w:val="1"/>
                <w:color w:val="auto"/>
              </w:rPr>
              <w:t>shares of</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shares of</w:t>
            </w:r>
          </w:p>
        </w:tc>
      </w:tr>
      <w:tr>
        <w:trPr>
          <w:trHeight w:val="189"/>
        </w:trPr>
        <w:tc>
          <w:tcPr>
            <w:tcW w:w="8080" w:type="dxa"/>
            <w:vAlign w:val="bottom"/>
          </w:tcPr>
          <w:p>
            <w:pPr>
              <w:spacing w:after="0"/>
              <w:rPr>
                <w:sz w:val="16"/>
                <w:szCs w:val="16"/>
                <w:color w:val="auto"/>
              </w:rPr>
            </w:pPr>
          </w:p>
        </w:tc>
        <w:tc>
          <w:tcPr>
            <w:tcW w:w="1440" w:type="dxa"/>
            <w:vAlign w:val="bottom"/>
          </w:tcPr>
          <w:p>
            <w:pPr>
              <w:jc w:val="right"/>
              <w:ind w:right="197"/>
              <w:spacing w:after="0"/>
              <w:rPr>
                <w:sz w:val="20"/>
                <w:szCs w:val="20"/>
                <w:color w:val="auto"/>
              </w:rPr>
            </w:pPr>
            <w:r>
              <w:rPr>
                <w:rFonts w:ascii="Arial" w:cs="Arial" w:eastAsia="Arial" w:hAnsi="Arial"/>
                <w:sz w:val="16"/>
                <w:szCs w:val="16"/>
                <w:b w:val="1"/>
                <w:bCs w:val="1"/>
                <w:color w:val="auto"/>
              </w:rPr>
              <w:t>common stock</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common stock</w:t>
            </w:r>
          </w:p>
        </w:tc>
      </w:tr>
      <w:tr>
        <w:trPr>
          <w:trHeight w:val="217"/>
        </w:trPr>
        <w:tc>
          <w:tcPr>
            <w:tcW w:w="80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97"/>
              <w:spacing w:after="0"/>
              <w:rPr>
                <w:sz w:val="20"/>
                <w:szCs w:val="20"/>
                <w:color w:val="auto"/>
              </w:rPr>
            </w:pPr>
            <w:r>
              <w:rPr>
                <w:rFonts w:ascii="Arial" w:cs="Arial" w:eastAsia="Arial" w:hAnsi="Arial"/>
                <w:sz w:val="16"/>
                <w:szCs w:val="16"/>
                <w:b w:val="1"/>
                <w:bCs w:val="1"/>
                <w:color w:val="auto"/>
              </w:rPr>
              <w:t>exercise</w:t>
            </w:r>
          </w:p>
        </w:tc>
        <w:tc>
          <w:tcPr>
            <w:tcW w:w="1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exercise</w:t>
            </w:r>
          </w:p>
        </w:tc>
      </w:tr>
      <w:tr>
        <w:trPr>
          <w:trHeight w:val="196"/>
        </w:trPr>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Common Share</w:t>
            </w:r>
          </w:p>
        </w:tc>
        <w:tc>
          <w:tcPr>
            <w:tcW w:w="1440" w:type="dxa"/>
            <w:vAlign w:val="bottom"/>
            <w:shd w:val="clear" w:color="auto" w:fill="CCEEFF"/>
          </w:tcPr>
          <w:p>
            <w:pPr>
              <w:jc w:val="right"/>
              <w:ind w:right="1257"/>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957"/>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1257"/>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957"/>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
        </w:trPr>
        <w:tc>
          <w:tcPr>
            <w:tcW w:w="80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80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-8255</wp:posOffset>
            </wp:positionV>
            <wp:extent cx="342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w:t>
      </w:r>
    </w:p>
    <w:p>
      <w:pPr>
        <w:spacing w:after="0" w:line="14" w:lineRule="exact"/>
        <w:rPr>
          <w:sz w:val="20"/>
          <w:szCs w:val="20"/>
          <w:color w:val="auto"/>
        </w:rPr>
      </w:pPr>
    </w:p>
    <w:p>
      <w:pPr>
        <w:ind w:left="120" w:right="160"/>
        <w:spacing w:after="0" w:line="250" w:lineRule="auto"/>
        <w:rPr>
          <w:sz w:val="20"/>
          <w:szCs w:val="20"/>
          <w:color w:val="auto"/>
        </w:rPr>
      </w:pPr>
      <w:r>
        <w:rPr>
          <w:rFonts w:ascii="Arial" w:cs="Arial" w:eastAsia="Arial" w:hAnsi="Arial"/>
          <w:sz w:val="18"/>
          <w:szCs w:val="18"/>
          <w:color w:val="auto"/>
        </w:rPr>
        <w:t>expenses, but excluding the underwriting discounts and commissions, will be approximately $ million. We have agreed to reimburse the underwriters for expenses relating to clearance of this offering with the Financial Industry Regulatory Authority, Inc. of up to $ .</w:t>
      </w:r>
    </w:p>
    <w:p>
      <w:pPr>
        <w:spacing w:after="0" w:line="104"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of common stock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93"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of our shares of common stock or securities convertible into or exercisable or exchangeable for any of our shares of common stock, or publicly disclose the intention to make any offer, sale, pledge, loan,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the representatives for a period of 180 days after the date of this prospectus, other than the shares of our common stock to be sold in this offering.</w:t>
      </w:r>
    </w:p>
    <w:p>
      <w:pPr>
        <w:spacing w:after="0" w:line="11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Our directors and executive officers, and substantially all of our stockholders (such persons, the “lock-up parties”) have entered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the representatives,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140"/>
          </w:cols>
          <w:pgMar w:left="320" w:top="455" w:right="4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13" w:lineRule="exact"/>
        <w:rPr>
          <w:sz w:val="20"/>
          <w:szCs w:val="20"/>
          <w:color w:val="auto"/>
        </w:rPr>
      </w:pPr>
    </w:p>
    <w:p>
      <w:pPr>
        <w:ind w:left="120"/>
        <w:spacing w:after="0" w:line="250" w:lineRule="auto"/>
        <w:rPr>
          <w:sz w:val="20"/>
          <w:szCs w:val="20"/>
          <w:color w:val="auto"/>
        </w:rPr>
      </w:pPr>
      <w:r>
        <w:rPr>
          <w:rFonts w:ascii="Arial" w:cs="Arial" w:eastAsia="Arial" w:hAnsi="Arial"/>
          <w:sz w:val="17"/>
          <w:szCs w:val="17"/>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or disposals of lock-up securities: (i) as bona fide gifts, or for bona fide estate planning purposes, (ii) by will or intestacy or any other testamentary document, (iii) to any trust for the direct or indirect benefit of the lock-up party or any immediate family member, (iv) to a corporation, partnership, limited liability company, investment fund or other entity (A) of which the lock-up party and/or its immediate family members are the legal and beneficial owner of all of the outstanding equity securities or similar interests, or (B) controlled by, or under common control with, the undersigned or the immediate family of the undersigned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limited members, members or stockholders of the lock-up party; (vii) by operation of law, (viii) to us from an employee upon death, disability or termination of employment of such employee,</w:t>
      </w:r>
    </w:p>
    <w:p>
      <w:pPr>
        <w:spacing w:after="0" w:line="5" w:lineRule="exact"/>
        <w:rPr>
          <w:sz w:val="20"/>
          <w:szCs w:val="20"/>
          <w:color w:val="auto"/>
        </w:rPr>
      </w:pPr>
    </w:p>
    <w:p>
      <w:pPr>
        <w:ind w:left="120" w:hanging="4"/>
        <w:spacing w:after="0" w:line="235" w:lineRule="auto"/>
        <w:tabs>
          <w:tab w:leader="none" w:pos="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as part of a sale of lock-up securities acquired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provided that (A) in the case of any transfer or distribution pursuant to clause (a)(i), (ii), (iii), (iv), (v), (vi) and (vii), such transfer shall not involve a disposition for value and each donee, devisee, transferee or distributee shall execute and deliver to the representatives a lock-up letter in the form of the lock-up letter, (B) in the case of any transfer or distribution pursuant to clause (a), (iii), (iv), (v), (vi), (ix) and (x) no filing by any party (donor, donee, devisee, transferor, transferee, distributer or distributee) under the Exchange Act, or other public announcement shall be required or shall be made voluntarily in connection with such transfer or distribution (other than a filing on a Form 5 or a filing required pursuant to Section 13 of the Exchange Act and the rules and regulations promulgated thereunder made after the expiration of the restricted period referred to above) and (C) in the case of any transfer or distribution pursuant to clause (a)(i), (ii), (vii) and (viii)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(b) exercise of the options, settlement of RSUs or other equity awards, or the exercise of warrants granted pursuant to plans described in in this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trading plans under Rule 10b5-1 under the Exchange Act, provided that such plan does not provide for the transfer of lock-up securities during the restricted period.</w:t>
      </w:r>
    </w:p>
    <w:p>
      <w:pPr>
        <w:spacing w:after="0" w:line="111"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color w:val="auto"/>
        </w:rPr>
        <w:t>The representatives, in their sole discretion, may release the securities subject to any of the lock-up agreements with the underwriters described above, in whole or in part at any time.</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apply to have our common stock approved for listing/quotation on the Nasdaq Global Select Market under the symbol “MGX.”</w:t>
      </w:r>
    </w:p>
    <w:p>
      <w:pPr>
        <w:spacing w:after="0" w:line="14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of common stock referred to above, or may be “naked” shorts, which are short positions in excess of that amount. The underwriters may close out any covered short position either by exercising their option to purchase additional shares, in whole or in part, or by purchasing shares of common stock in the open market. In making this determination, the underwriters will consider, among other things, the price of shares of common stock available for purchase in the open market compared to the price at which the underwriters may purchase shares of common stock through the option to purchase additional shares of common stock.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of common stock in the open market to cover the position.</w:t>
      </w:r>
    </w:p>
    <w:p>
      <w:pPr>
        <w:spacing w:after="0" w:line="122" w:lineRule="exact"/>
        <w:rPr>
          <w:sz w:val="20"/>
          <w:szCs w:val="20"/>
          <w:color w:val="auto"/>
        </w:rPr>
      </w:pPr>
    </w:p>
    <w:p>
      <w:pPr>
        <w:ind w:left="120" w:right="460"/>
        <w:spacing w:after="0" w:line="244"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of common stock as part of this offering to repay the underwriting discount received by them.</w:t>
      </w:r>
    </w:p>
    <w:p>
      <w:pPr>
        <w:spacing w:after="0" w:line="95"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open market, in the over-the-counter market or otherwise.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760"/>
        <w:spacing w:after="0" w:line="253"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01" w:lineRule="exact"/>
        <w:rPr>
          <w:sz w:val="20"/>
          <w:szCs w:val="20"/>
          <w:color w:val="auto"/>
        </w:rPr>
      </w:pPr>
    </w:p>
    <w:p>
      <w:pPr>
        <w:ind w:left="340" w:hanging="224"/>
        <w:spacing w:after="0"/>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44"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shares of common stock, or that the shares of common stock will trade in the public market at or above the initial public offering price.</w:t>
      </w:r>
    </w:p>
    <w:p>
      <w:pPr>
        <w:spacing w:after="0" w:line="86"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99"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European Economic Area</w:t>
      </w:r>
    </w:p>
    <w:p>
      <w:pPr>
        <w:spacing w:after="0" w:line="135" w:lineRule="exact"/>
        <w:rPr>
          <w:sz w:val="20"/>
          <w:szCs w:val="20"/>
          <w:color w:val="auto"/>
        </w:rPr>
      </w:pPr>
    </w:p>
    <w:p>
      <w:pPr>
        <w:ind w:left="120" w:right="200"/>
        <w:spacing w:after="0" w:line="242" w:lineRule="auto"/>
        <w:rPr>
          <w:sz w:val="20"/>
          <w:szCs w:val="20"/>
          <w:color w:val="auto"/>
        </w:rPr>
      </w:pPr>
      <w:r>
        <w:rPr>
          <w:rFonts w:ascii="Arial" w:cs="Arial" w:eastAsia="Arial" w:hAnsi="Arial"/>
          <w:sz w:val="18"/>
          <w:szCs w:val="18"/>
          <w:color w:val="auto"/>
        </w:rPr>
        <w:t>In relation to each Member State of the European Economic Area (each a “Relevant State”), no shares of our common stock have been offered or will be offered pursuant to the offering to the public in that Relevant State prior to the publication of a prospectus in relation to the shares of our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common stock may be made to the public in that Relevant State at any time under the following exemptions under the Prospectus Regulation:</w:t>
      </w:r>
    </w:p>
    <w:p>
      <w:pPr>
        <w:spacing w:after="0" w:line="111" w:lineRule="exact"/>
        <w:rPr>
          <w:sz w:val="20"/>
          <w:szCs w:val="20"/>
          <w:color w:val="auto"/>
        </w:rPr>
      </w:pPr>
    </w:p>
    <w:p>
      <w:pPr>
        <w:ind w:left="5480" w:right="3320" w:hanging="5364"/>
        <w:spacing w:after="0" w:line="443" w:lineRule="auto"/>
        <w:tabs>
          <w:tab w:leader="none" w:pos="55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 251</w:t>
      </w:r>
    </w:p>
    <w:p>
      <w:pPr>
        <w:sectPr>
          <w:pgSz w:w="11900" w:h="16838" w:orient="portrait"/>
          <w:cols w:equalWidth="0" w:num="1">
            <w:col w:w="11100"/>
          </w:cols>
          <w:pgMar w:left="320" w:top="455" w:right="47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320" w:hanging="424"/>
        <w:spacing w:after="0" w:line="271"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86" w:lineRule="exact"/>
        <w:rPr>
          <w:rFonts w:ascii="Arial" w:cs="Arial" w:eastAsia="Arial" w:hAnsi="Arial"/>
          <w:sz w:val="18"/>
          <w:szCs w:val="18"/>
          <w:color w:val="auto"/>
        </w:rPr>
      </w:pPr>
    </w:p>
    <w:p>
      <w:pPr>
        <w:ind w:left="540" w:hanging="424"/>
        <w:spacing w:after="0"/>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44"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color w:val="auto"/>
        </w:rPr>
        <w:t>provided that no such offer of shares of common stock shall require the Issuer or any underwriter to publish a prospectus pursuant to Article 3 of the Prospectus Regulation or supplement a prospectus pursuant to Article 23 of the Prospectus Regulation.</w:t>
      </w:r>
    </w:p>
    <w:p>
      <w:pPr>
        <w:spacing w:after="0" w:line="86" w:lineRule="exact"/>
        <w:rPr>
          <w:sz w:val="20"/>
          <w:szCs w:val="20"/>
          <w:color w:val="auto"/>
        </w:rPr>
      </w:pPr>
    </w:p>
    <w:p>
      <w:pPr>
        <w:jc w:val="both"/>
        <w:ind w:left="120" w:right="80"/>
        <w:spacing w:after="0" w:line="253" w:lineRule="auto"/>
        <w:rPr>
          <w:sz w:val="20"/>
          <w:szCs w:val="20"/>
          <w:color w:val="auto"/>
        </w:rPr>
      </w:pPr>
      <w:r>
        <w:rPr>
          <w:rFonts w:ascii="Arial" w:cs="Arial" w:eastAsia="Arial" w:hAnsi="Arial"/>
          <w:sz w:val="18"/>
          <w:szCs w:val="18"/>
          <w:color w:val="auto"/>
        </w:rPr>
        <w:t>Each person in a Relevant State who initially acquires any shares of common stock or to whom any offer is made will be deemed to have represented, acknowledged and agreed to and with the Company and the underwriters that it is a qualified investor within the meaning of the Prospectus Regulation.</w:t>
      </w:r>
    </w:p>
    <w:p>
      <w:pPr>
        <w:spacing w:after="0" w:line="8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In the case of any shares of common stock being offered to a financial intermediary as that term is used in Article 5(1) of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111" w:lineRule="exact"/>
        <w:rPr>
          <w:sz w:val="20"/>
          <w:szCs w:val="20"/>
          <w:color w:val="auto"/>
        </w:rPr>
      </w:pPr>
    </w:p>
    <w:p>
      <w:pPr>
        <w:ind w:left="120" w:right="1440"/>
        <w:spacing w:after="0" w:line="271"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86"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United Kingdom</w:t>
      </w:r>
    </w:p>
    <w:p>
      <w:pPr>
        <w:spacing w:after="0" w:line="148"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In relation to the United Kingdom (the “UK”), no shares of our common stock have been offered or will be offered pursuant to the offering to the public in the UK prior to the publication of a prospectus in relation to the shares of common stock which has been approved by the Financial Conduct Authority in the UK in accordance with the UK Prospectus Regulation and the FSMA, except that offers of shares of common stock may be made to the public in the UK at any time under the following exemptions under the UK Prospectus Regulation and the FSMA:</w:t>
      </w:r>
    </w:p>
    <w:p>
      <w:pPr>
        <w:spacing w:after="0" w:line="109"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144" w:lineRule="exact"/>
        <w:rPr>
          <w:rFonts w:ascii="Arial" w:cs="Arial" w:eastAsia="Arial" w:hAnsi="Arial"/>
          <w:sz w:val="18"/>
          <w:szCs w:val="18"/>
          <w:color w:val="auto"/>
        </w:rPr>
      </w:pPr>
    </w:p>
    <w:p>
      <w:pPr>
        <w:ind w:left="540" w:right="20" w:hanging="424"/>
        <w:spacing w:after="0" w:line="271" w:lineRule="auto"/>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underwriters for any such offer; or</w:t>
      </w:r>
    </w:p>
    <w:p>
      <w:pPr>
        <w:spacing w:after="0" w:line="86" w:lineRule="exact"/>
        <w:rPr>
          <w:rFonts w:ascii="Arial" w:cs="Arial" w:eastAsia="Arial" w:hAnsi="Arial"/>
          <w:sz w:val="18"/>
          <w:szCs w:val="18"/>
          <w:color w:val="auto"/>
        </w:rPr>
      </w:pPr>
    </w:p>
    <w:p>
      <w:pPr>
        <w:ind w:left="540" w:hanging="424"/>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at any time in other circumstances falling within section 86 of the FSMA,</w:t>
      </w:r>
    </w:p>
    <w:p>
      <w:pPr>
        <w:spacing w:after="0" w:line="131" w:lineRule="exact"/>
        <w:rPr>
          <w:sz w:val="20"/>
          <w:szCs w:val="20"/>
          <w:color w:val="auto"/>
        </w:rPr>
      </w:pPr>
    </w:p>
    <w:p>
      <w:pPr>
        <w:ind w:left="120" w:right="420"/>
        <w:spacing w:after="0" w:line="253" w:lineRule="auto"/>
        <w:rPr>
          <w:sz w:val="20"/>
          <w:szCs w:val="20"/>
          <w:color w:val="auto"/>
        </w:rPr>
      </w:pPr>
      <w:r>
        <w:rPr>
          <w:rFonts w:ascii="Arial" w:cs="Arial" w:eastAsia="Arial" w:hAnsi="Arial"/>
          <w:sz w:val="18"/>
          <w:szCs w:val="18"/>
          <w:color w:val="auto"/>
        </w:rPr>
        <w:t>provided that no such offer of shares of common stock shall require the Issuer or any underwriter to publish a prospectus pursuant to Section 85 of the FSMA or Article 3 of the UK Prospectus Regulation or supplement a prospectus pursuant to Article 23 of the UK Prospectus Regulation.</w:t>
      </w:r>
    </w:p>
    <w:p>
      <w:pPr>
        <w:spacing w:after="0" w:line="101"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Each person in the UK who initially acquires any shares of common stock or to whom any offer is made will be deemed to have represented, acknowledged and agreed to and with the Company and the underwriters that it is a qualified investor within the meaning of the UK Prospectus Regulation.</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080"/>
          </w:cols>
          <w:pgMar w:left="320" w:top="455" w:right="49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In the case of any shares of common stock being offered to a financial intermediary as that term is used in Article 5(1) of the UK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w:t>
      </w:r>
    </w:p>
    <w:p>
      <w:pPr>
        <w:spacing w:after="0" w:line="111" w:lineRule="exact"/>
        <w:rPr>
          <w:sz w:val="20"/>
          <w:szCs w:val="20"/>
          <w:color w:val="auto"/>
        </w:rPr>
      </w:pPr>
    </w:p>
    <w:p>
      <w:pPr>
        <w:ind w:left="120" w:right="1480"/>
        <w:spacing w:after="0" w:line="271"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86"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our common stock in the UK means the communication in any form and by any means of sufficient information on the terms of the offer and any shares of our common stock to be offered so as to enable an investor to decide to purchase or subscribe for any shares of our common stock, the expression “UK Prospectus Regulation” means Regulation (EU) 2017/1129 as it forms part of domestic law by virtue of the European Union (Withdrawal) Act 2018, and the expression “FSMA” means the Financial Services and Markets Act 2000.</w:t>
      </w:r>
    </w:p>
    <w:p>
      <w:pPr>
        <w:spacing w:after="0" w:line="9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Canada</w:t>
      </w:r>
    </w:p>
    <w:p>
      <w:pPr>
        <w:spacing w:after="0" w:line="135"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09"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9"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Switzerland</w:t>
      </w:r>
    </w:p>
    <w:p>
      <w:pPr>
        <w:spacing w:after="0" w:line="148" w:lineRule="exact"/>
        <w:rPr>
          <w:sz w:val="20"/>
          <w:szCs w:val="20"/>
          <w:color w:val="auto"/>
        </w:rPr>
      </w:pPr>
    </w:p>
    <w:p>
      <w:pPr>
        <w:ind w:left="120" w:right="120"/>
        <w:spacing w:after="0" w:line="259" w:lineRule="auto"/>
        <w:rPr>
          <w:sz w:val="20"/>
          <w:szCs w:val="20"/>
          <w:color w:val="auto"/>
        </w:rPr>
      </w:pPr>
      <w:r>
        <w:rPr>
          <w:rFonts w:ascii="Arial" w:cs="Arial" w:eastAsia="Arial" w:hAnsi="Arial"/>
          <w:sz w:val="17"/>
          <w:szCs w:val="17"/>
          <w:color w:val="auto"/>
        </w:rPr>
        <w:t>The shares of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9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of common stock have been or will be filed with or approved by any Swiss regulatory authority. In particular, this document will not be filed with, and the offer of shares of common stock will not be supervised by, the Swiss Financial Market Supervisory Authority FINMA (“FINMA”), and the offer of shares of common stock has not been and will not be authorized under the Swiss Federal Act on Collective Investment Schemes (“CISA”). The investor protection afforded to acquirers of interests in collective investment schemes under the CISA does not extend to acquirers of shares of common stock.</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Hong Kong</w:t>
      </w:r>
    </w:p>
    <w:p>
      <w:pPr>
        <w:spacing w:after="0" w:line="148"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shares of common stock have not been offered or sold and will not be offered or sold in Hong Kong, by means of any document, other than (a) to “professional investors” as defined in the Securities and Futures Ordinance (Cap. 571 of the Laws of Hong Kong) (“SFO”), of Hong Kong and any rules made thereunder; or (b) in other circumstances which do not result in the document being a “prospectus” as defined in the Companies (Winding Up and Miscellaneous Provisions) Ordinance (Cap. 32) of Hong Kong) (“CO”), or which do not constitute an offer to the public within the meaning of the CO.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Singapore</w:t>
      </w:r>
    </w:p>
    <w:p>
      <w:pPr>
        <w:spacing w:after="0" w:line="148"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Each joint book-running manager has acknowledged that this prospectus has not been registered as a prospectus with the Monetary Authority of Singapore. Accordingly, each joint book-running manager has represented and agreed that it has not offered or sold any shares of common stock or caused the shares of common stock to be made the subject of an invitation for subscription or purchase and will not offer or sell any shares of common stock or cause the shares of common stock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of common stock, whether directly or indirectly, to any person in Singapore other than:</w:t>
      </w:r>
    </w:p>
    <w:p>
      <w:pPr>
        <w:spacing w:after="0" w:line="117" w:lineRule="exact"/>
        <w:rPr>
          <w:sz w:val="20"/>
          <w:szCs w:val="20"/>
          <w:color w:val="auto"/>
        </w:rPr>
      </w:pPr>
    </w:p>
    <w:p>
      <w:pPr>
        <w:ind w:left="540" w:right="380" w:hanging="424"/>
        <w:spacing w:after="0" w:line="271" w:lineRule="auto"/>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86" w:lineRule="exact"/>
        <w:rPr>
          <w:rFonts w:ascii="Arial" w:cs="Arial" w:eastAsia="Arial" w:hAnsi="Arial"/>
          <w:sz w:val="18"/>
          <w:szCs w:val="18"/>
          <w:color w:val="auto"/>
        </w:rPr>
      </w:pPr>
    </w:p>
    <w:p>
      <w:pPr>
        <w:ind w:left="540" w:right="460" w:hanging="424"/>
        <w:spacing w:after="0" w:line="271" w:lineRule="auto"/>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120"/>
          </w:cols>
          <w:pgMar w:left="320" w:top="455"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44" w:lineRule="exact"/>
        <w:rPr>
          <w:sz w:val="20"/>
          <w:szCs w:val="20"/>
          <w:color w:val="auto"/>
        </w:rPr>
      </w:pPr>
    </w:p>
    <w:p>
      <w:pPr>
        <w:ind w:left="540" w:right="300" w:hanging="424"/>
        <w:spacing w:after="0" w:line="271"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86" w:lineRule="exact"/>
        <w:rPr>
          <w:rFonts w:ascii="Arial" w:cs="Arial" w:eastAsia="Arial" w:hAnsi="Arial"/>
          <w:sz w:val="18"/>
          <w:szCs w:val="18"/>
          <w:color w:val="auto"/>
        </w:rPr>
      </w:pPr>
    </w:p>
    <w:p>
      <w:pPr>
        <w:ind w:left="540" w:hanging="424"/>
        <w:spacing w:after="0" w:line="244"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08" w:lineRule="exact"/>
        <w:rPr>
          <w:rFonts w:ascii="Arial" w:cs="Arial" w:eastAsia="Arial" w:hAnsi="Arial"/>
          <w:sz w:val="18"/>
          <w:szCs w:val="18"/>
          <w:color w:val="auto"/>
        </w:rPr>
      </w:pPr>
    </w:p>
    <w:p>
      <w:pPr>
        <w:ind w:left="1080" w:right="480" w:hanging="532"/>
        <w:spacing w:after="0" w:line="271" w:lineRule="auto"/>
        <w:tabs>
          <w:tab w:leader="none" w:pos="10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86" w:lineRule="exact"/>
        <w:rPr>
          <w:rFonts w:ascii="Arial" w:cs="Arial" w:eastAsia="Arial" w:hAnsi="Arial"/>
          <w:sz w:val="18"/>
          <w:szCs w:val="18"/>
          <w:color w:val="auto"/>
        </w:rPr>
      </w:pPr>
    </w:p>
    <w:p>
      <w:pPr>
        <w:ind w:left="1080" w:hanging="532"/>
        <w:spacing w:after="0"/>
        <w:tabs>
          <w:tab w:leader="none" w:pos="10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44" w:lineRule="exact"/>
        <w:rPr>
          <w:rFonts w:ascii="Arial" w:cs="Arial" w:eastAsia="Arial" w:hAnsi="Arial"/>
          <w:sz w:val="18"/>
          <w:szCs w:val="18"/>
          <w:color w:val="auto"/>
        </w:rPr>
      </w:pPr>
    </w:p>
    <w:p>
      <w:pPr>
        <w:ind w:left="1080" w:hanging="532"/>
        <w:spacing w:after="0"/>
        <w:tabs>
          <w:tab w:leader="none" w:pos="10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1080" w:hanging="532"/>
        <w:spacing w:after="0"/>
        <w:tabs>
          <w:tab w:leader="none" w:pos="10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44" w:lineRule="exact"/>
        <w:rPr>
          <w:rFonts w:ascii="Arial" w:cs="Arial" w:eastAsia="Arial" w:hAnsi="Arial"/>
          <w:sz w:val="18"/>
          <w:szCs w:val="18"/>
          <w:color w:val="auto"/>
        </w:rPr>
      </w:pPr>
    </w:p>
    <w:p>
      <w:pPr>
        <w:ind w:left="1080" w:right="740" w:hanging="532"/>
        <w:spacing w:after="0" w:line="271" w:lineRule="auto"/>
        <w:tabs>
          <w:tab w:leader="none" w:pos="10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86"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Singapore SFA Product Classification—In connection with Section 309B of the SFA and the CMP Regulations 2018, unless otherwise specified before an offer of shares of common stock, we have determined, and hereby notify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Japan</w:t>
      </w:r>
    </w:p>
    <w:p>
      <w:pPr>
        <w:spacing w:after="0" w:line="148"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The shares of common stock have not been and will not be registered pursuant to Article 4, Paragraph 1 of the Financial Instruments and Exchange Act. Accordingly, none of the shares of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United Arab Emirates</w:t>
      </w:r>
    </w:p>
    <w:p>
      <w:pPr>
        <w:spacing w:after="0" w:line="148"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The shares of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Israel</w:t>
      </w:r>
    </w:p>
    <w:p>
      <w:pPr>
        <w:spacing w:after="0" w:line="148"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 offer to subscribe for our shares of common stock to any person within the State of Israel, other than to Qualified Investors and up to 35 Addressed Investors.</w:t>
      </w:r>
    </w:p>
    <w:p>
      <w:pPr>
        <w:spacing w:after="0" w:line="99"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Qualified Investors may have to submit written evidence that they meet the definitions set out in of the First Addendum to the Israeli Securities Law, 5728—1968. In particular, we may request, as a condition to be offered shares of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shares of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Australia</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w:t>
      </w:r>
    </w:p>
    <w:p>
      <w:pPr>
        <w:spacing w:after="0" w:line="144" w:lineRule="exact"/>
        <w:rPr>
          <w:sz w:val="20"/>
          <w:szCs w:val="20"/>
          <w:color w:val="auto"/>
        </w:rPr>
      </w:pPr>
    </w:p>
    <w:p>
      <w:pPr>
        <w:ind w:left="540" w:hanging="424"/>
        <w:spacing w:after="0" w:line="271"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86" w:lineRule="exact"/>
        <w:rPr>
          <w:rFonts w:ascii="Arial" w:cs="Arial" w:eastAsia="Arial" w:hAnsi="Arial"/>
          <w:sz w:val="18"/>
          <w:szCs w:val="18"/>
          <w:color w:val="auto"/>
        </w:rPr>
      </w:pPr>
    </w:p>
    <w:p>
      <w:pPr>
        <w:ind w:left="540" w:right="20" w:hanging="424"/>
        <w:spacing w:after="0" w:line="253"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01" w:lineRule="exact"/>
        <w:rPr>
          <w:rFonts w:ascii="Arial" w:cs="Arial" w:eastAsia="Arial" w:hAnsi="Arial"/>
          <w:sz w:val="18"/>
          <w:szCs w:val="18"/>
          <w:color w:val="auto"/>
        </w:rPr>
      </w:pPr>
    </w:p>
    <w:p>
      <w:pPr>
        <w:ind w:left="540" w:right="180" w:hanging="424"/>
        <w:spacing w:after="0" w:line="271"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86"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The shares of common stock may not be directly or indirectly offered for subscription or purchased or sold, and no invitations to subscribe for or buy the shares of common stock may be issued, and no draft or definitive offering</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80"/>
        <w:spacing w:after="0" w:line="247" w:lineRule="auto"/>
        <w:rPr>
          <w:sz w:val="20"/>
          <w:szCs w:val="20"/>
          <w:color w:val="auto"/>
        </w:rPr>
      </w:pPr>
      <w:r>
        <w:rPr>
          <w:rFonts w:ascii="Arial" w:cs="Arial" w:eastAsia="Arial" w:hAnsi="Arial"/>
          <w:sz w:val="18"/>
          <w:szCs w:val="18"/>
          <w:color w:val="auto"/>
        </w:rPr>
        <w:t>memorandum, advertisement or other offering material relating to any shares of common stock may be distributed in Australia, except where disclosure to investors is not required under Chapter 6D of the Corporations Act or is otherwise in compliance with all applicable Australian laws and regulations. By submitting an application for the shares of common stock, you represent and warrant to us that you are an Exempt Investor.</w:t>
      </w:r>
    </w:p>
    <w:p>
      <w:pPr>
        <w:spacing w:after="0" w:line="106"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As any offer of shares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common stock you undertake to us that you will not, for a period of 12 months from the date of issue of the shares of common stock, offer, transfer, assign or otherwise alienate those shares of common stock to investors in Australia except in circumstances where disclosure to investors is not required under Chapter 6D.2 of the Corporations Act or where a compliant disclosure document is prepared and lodged with ASIC.</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China</w:t>
      </w:r>
    </w:p>
    <w:p>
      <w:pPr>
        <w:spacing w:after="0" w:line="148"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This prospectus will not be circulated or distributed in the PRC and the shares of common stock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Korea</w:t>
      </w:r>
    </w:p>
    <w:p>
      <w:pPr>
        <w:spacing w:after="0" w:line="148"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shares of common stock have not been and will not be registered under the Financial Investments Services and Capital Markets Act of Korea and the decrees and regulations thereunder (“FSCMA”), and the shares of common stock have been and will be offered in Korea as a private placement under the FSCMA. None of the shares of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(“FETL”). Furthermore, the purchaser of the shares of common stock shall comply with all applicable regulatory requirements (including but not limited to requirements under the FETL) in connection with the purchase of the shares of common stock. By the purchase of the shares of common stock, the relevant holder thereof will be deemed to represent and warrant that if it is in Korea or is a resident of Korea, it purchased the shares of common stock pursuant to the applicable laws and regulations of Korea.</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Saudi Arabia</w:t>
      </w:r>
    </w:p>
    <w:p>
      <w:pPr>
        <w:spacing w:after="0" w:line="148" w:lineRule="exact"/>
        <w:rPr>
          <w:sz w:val="20"/>
          <w:szCs w:val="20"/>
          <w:color w:val="auto"/>
        </w:rPr>
      </w:pPr>
    </w:p>
    <w:p>
      <w:pPr>
        <w:ind w:left="120" w:right="520"/>
        <w:spacing w:after="0" w:line="259" w:lineRule="auto"/>
        <w:rPr>
          <w:sz w:val="20"/>
          <w:szCs w:val="20"/>
          <w:color w:val="auto"/>
        </w:rPr>
      </w:pPr>
      <w:r>
        <w:rPr>
          <w:rFonts w:ascii="Arial" w:cs="Arial" w:eastAsia="Arial" w:hAnsi="Arial"/>
          <w:sz w:val="17"/>
          <w:szCs w:val="17"/>
          <w:color w:val="auto"/>
        </w:rPr>
        <w:t>This document may not be distributed in the Kingdom of Saudi Arabia except to such persons as are permitted under the Offers of Securities Regulations as issued by the board of the Saudi Arabian Capital Market Authority (“CMA”), pursuant to resolution number</w:t>
      </w:r>
    </w:p>
    <w:p>
      <w:pPr>
        <w:spacing w:after="0" w:line="1"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2-11-2004 dated 4 October 2004 as amended by resolution number 1-28-2008,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shares of common stock offered hereby should conduct their own due diligence on the accuracy of the information relating to the securities. If you do not understand the contents of this document, you should consult an authorized financial adviser.</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120"/>
          </w:cols>
          <w:pgMar w:left="320" w:top="455"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Dubai International Financial Centre (“DIFC”)</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shares of common stock to which this document relates may be illiquid and/or subject to restrictions on their resale. Prospective purchasers of the shares of common stock offered should conduct their own due diligence on the securities. If you do not understand the contents of this document, you should consult an authorized financial advisor.</w:t>
      </w:r>
    </w:p>
    <w:p>
      <w:pPr>
        <w:spacing w:after="0" w:line="117"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Bermuda</w:t>
      </w:r>
    </w:p>
    <w:p>
      <w:pPr>
        <w:spacing w:after="0" w:line="14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Shares of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British Virgin Islands</w:t>
      </w:r>
    </w:p>
    <w:p>
      <w:pPr>
        <w:spacing w:after="0" w:line="148"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The shares of common stock are not being and may not be offered to the public or to any person in the British Virgin Islands for purchase or subscription by or on behalf of us. The shares of common stock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Taiwan</w:t>
      </w:r>
    </w:p>
    <w:p>
      <w:pPr>
        <w:spacing w:after="0" w:line="148"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The shares of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of common stock in Taiwan.</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South Africa</w:t>
      </w:r>
    </w:p>
    <w:p>
      <w:pPr>
        <w:spacing w:after="0" w:line="148"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of common stock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100"/>
          </w:cols>
          <w:pgMar w:left="320" w:top="455" w:right="47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color w:val="auto"/>
        </w:rPr>
        <w:t>other regulatory authority in South Africa. The shares of common stock are not offered, and the offer shall not be transferred, sold, renounced or delivered, in South Africa or to a person with an address in South Africa, unless one or other of the following exemptions stipulated in section 96 (1) applies:</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96 (1) (a) the offer, transfer, sale, renunciation or delivery is to:</w:t>
      </w:r>
    </w:p>
    <w:p>
      <w:pPr>
        <w:spacing w:after="0" w:line="144"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persons whose ordinary business, or part of whose ordinary business, is to deal in securities, as principal or agent;</w:t>
      </w:r>
    </w:p>
    <w:p>
      <w:pPr>
        <w:spacing w:after="0" w:line="144" w:lineRule="exact"/>
        <w:rPr>
          <w:rFonts w:ascii="Arial" w:cs="Arial" w:eastAsia="Arial" w:hAnsi="Arial"/>
          <w:sz w:val="18"/>
          <w:szCs w:val="18"/>
          <w:color w:val="auto"/>
        </w:rPr>
      </w:pPr>
    </w:p>
    <w:p>
      <w:pPr>
        <w:ind w:left="540" w:hanging="424"/>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44" w:lineRule="exact"/>
        <w:rPr>
          <w:rFonts w:ascii="Arial" w:cs="Arial" w:eastAsia="Arial" w:hAnsi="Arial"/>
          <w:sz w:val="18"/>
          <w:szCs w:val="18"/>
          <w:color w:val="auto"/>
        </w:rPr>
      </w:pPr>
    </w:p>
    <w:p>
      <w:pPr>
        <w:ind w:left="540" w:hanging="424"/>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44" w:lineRule="exact"/>
        <w:rPr>
          <w:rFonts w:ascii="Arial" w:cs="Arial" w:eastAsia="Arial" w:hAnsi="Arial"/>
          <w:sz w:val="18"/>
          <w:szCs w:val="18"/>
          <w:color w:val="auto"/>
        </w:rPr>
      </w:pPr>
    </w:p>
    <w:p>
      <w:pPr>
        <w:ind w:left="540" w:hanging="424"/>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authorized financial service providers under South African law;</w:t>
      </w:r>
    </w:p>
    <w:p>
      <w:pPr>
        <w:spacing w:after="0" w:line="144" w:lineRule="exact"/>
        <w:rPr>
          <w:rFonts w:ascii="Arial" w:cs="Arial" w:eastAsia="Arial" w:hAnsi="Arial"/>
          <w:sz w:val="18"/>
          <w:szCs w:val="18"/>
          <w:color w:val="auto"/>
        </w:rPr>
      </w:pPr>
    </w:p>
    <w:p>
      <w:pPr>
        <w:ind w:left="540" w:hanging="424"/>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financial institutions recognized as such under South African law;</w:t>
      </w:r>
    </w:p>
    <w:p>
      <w:pPr>
        <w:spacing w:after="0" w:line="144" w:lineRule="exact"/>
        <w:rPr>
          <w:rFonts w:ascii="Arial" w:cs="Arial" w:eastAsia="Arial" w:hAnsi="Arial"/>
          <w:sz w:val="18"/>
          <w:szCs w:val="18"/>
          <w:color w:val="auto"/>
        </w:rPr>
      </w:pPr>
    </w:p>
    <w:p>
      <w:pPr>
        <w:ind w:left="540" w:right="40" w:hanging="424"/>
        <w:spacing w:after="0" w:line="253"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(iii), (iv) or (v), acting as agent in the capacity of an authorized portfolio manager for a pension fund, or as manager for a collective investment scheme (in each case duly registered as such under South African law); or</w:t>
      </w:r>
    </w:p>
    <w:p>
      <w:pPr>
        <w:spacing w:after="0" w:line="101" w:lineRule="exact"/>
        <w:rPr>
          <w:rFonts w:ascii="Arial" w:cs="Arial" w:eastAsia="Arial" w:hAnsi="Arial"/>
          <w:sz w:val="18"/>
          <w:szCs w:val="18"/>
          <w:color w:val="auto"/>
        </w:rPr>
      </w:pPr>
    </w:p>
    <w:p>
      <w:pPr>
        <w:ind w:left="540" w:hanging="424"/>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pacing w:after="0" w:line="144"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Section 96 (1) (b) the total contemplated acquisition cost of the shares of common stock, for any single addressee acting as principal is equal to or greater than ZAR1,000,000 or such higher amount as may be promulgated by notice in the Government Gazette of South Africa pursuant to section 96(2)(a) of the South African Companies Act.</w:t>
      </w:r>
    </w:p>
    <w:p>
      <w:pPr>
        <w:spacing w:after="0" w:line="88"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Information made available in this prospectus should not be considered as “advice” as defined in the South African Financial Advisory and Intermediary Services Act, 2002.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Malaysia</w:t>
      </w:r>
    </w:p>
    <w:p>
      <w:pPr>
        <w:spacing w:after="0" w:line="13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shares of common stock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shares of common stock, as principal, if the offer is on terms that the shares of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of</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060"/>
          </w:cols>
          <w:pgMar w:left="320" w:top="455" w:right="51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common stock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Qatar</w:t>
      </w:r>
    </w:p>
    <w:p>
      <w:pPr>
        <w:spacing w:after="0" w:line="135"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The shares of common stock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100"/>
          </w:cols>
          <w:pgMar w:left="320" w:top="455" w:right="47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LEGAL MATTERS</w:t>
      </w:r>
    </w:p>
    <w:p>
      <w:pPr>
        <w:spacing w:after="0" w:line="168"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Goodwin Procter LLP, Boston, Massachusetts. Certain legal matters relating to this offering will be passed upon for the underwriters by Davis Polk &amp; Wardwell LLP, New York, New York.</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EXPERTS</w:t>
      </w:r>
    </w:p>
    <w:p>
      <w:pPr>
        <w:spacing w:after="0" w:line="168" w:lineRule="exact"/>
        <w:rPr>
          <w:sz w:val="20"/>
          <w:szCs w:val="20"/>
          <w:color w:val="auto"/>
        </w:rPr>
      </w:pPr>
    </w:p>
    <w:p>
      <w:pPr>
        <w:ind w:left="120" w:right="520"/>
        <w:spacing w:after="0" w:line="253" w:lineRule="auto"/>
        <w:rPr>
          <w:sz w:val="20"/>
          <w:szCs w:val="20"/>
          <w:color w:val="auto"/>
        </w:rPr>
      </w:pPr>
      <w:r>
        <w:rPr>
          <w:rFonts w:ascii="Arial" w:cs="Arial" w:eastAsia="Arial" w:hAnsi="Arial"/>
          <w:sz w:val="18"/>
          <w:szCs w:val="18"/>
          <w:color w:val="auto"/>
        </w:rPr>
        <w:t>The financial statements as of December 31, 2022 and 2021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101"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In connection with their engagement, PricewaterhouseCoopers LLP (“PwC”) notified us that a business relationship existed between a PwC member firm and a beneficial owner that has significant influence (“BOSI”) over the Company, whereby the BOSI participated in an online platform operated and maintained by the PwC member firm and had access to dedicated space at the PwC member firm’s physical location in which the BOSI and other business partners and innovators participated on such platform and/or within the physical location to exchange experiences and ideas, search for technologies, pose challenges to others to provide proposed solutions, make direct contacts and to meet virtually or in person.</w:t>
      </w:r>
    </w:p>
    <w:p>
      <w:pPr>
        <w:spacing w:after="0" w:line="98" w:lineRule="exact"/>
        <w:rPr>
          <w:sz w:val="20"/>
          <w:szCs w:val="20"/>
          <w:color w:val="auto"/>
        </w:rPr>
      </w:pPr>
    </w:p>
    <w:p>
      <w:pPr>
        <w:jc w:val="both"/>
        <w:ind w:left="120" w:right="80"/>
        <w:spacing w:after="0" w:line="253" w:lineRule="auto"/>
        <w:rPr>
          <w:sz w:val="20"/>
          <w:szCs w:val="20"/>
          <w:color w:val="auto"/>
        </w:rPr>
      </w:pPr>
      <w:r>
        <w:rPr>
          <w:rFonts w:ascii="Arial" w:cs="Arial" w:eastAsia="Arial" w:hAnsi="Arial"/>
          <w:sz w:val="18"/>
          <w:szCs w:val="18"/>
          <w:color w:val="auto"/>
        </w:rPr>
        <w:t>The existence of this business relationship identified is inconsistent with SEC and PCAOB auditor independence rules provided in Rule 2-01 of Regulation S-X. The matter was resolved on June 7, 2023, upon the termination of the business relationship between the BOSI and the PwC member firm.</w:t>
      </w:r>
    </w:p>
    <w:p>
      <w:pPr>
        <w:spacing w:after="0" w:line="101"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PwC provided an overview of the facts and circumstances surrounding the business relationship to our audit committee and management, including that the entity involved was a BOSI and not an affiliate of the Company, and other relevant facts. The PwC audit engagement team members did not participate in the PwC member firm’s activities and engagements with the BOSI or any entity that is part of the PwC member firm’s business relationship with the BOSI, and the business relationship was not quantitatively or qualitatively material to the PwC member firm or the BOSI.</w:t>
      </w:r>
    </w:p>
    <w:p>
      <w:pPr>
        <w:spacing w:after="0" w:line="109"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Considering the facts presented, our audit committee and PwC have concluded that the business relationship would not impair PwC’s application of objective and impartial judgment on any matters encompassed within the audit engagement performed by PwC for our consolidated financial statements as of and for the fiscal years ended December 31, 2022 and 2021, and that a reasonable investor with knowledge of all relevant facts and circumstances would conclude that PwC is capable of remaining objective and impartial with respect to the audit of the Company’s consolidated financial statements.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CHANGES IN INDEPENDENT REGISTERED PUBLIC ACCOUNTING FIRM</w:t>
      </w:r>
    </w:p>
    <w:p>
      <w:pPr>
        <w:spacing w:after="0" w:line="168"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On September 24, 2021, KPMG, LLP (“KPMG”) was engaged as the independent registered public accounting firm to audit our consolidated financial statements for the fiscal year ended December 31, 2020 in accordance with auditing standards generally accepted in the United States.</w:t>
      </w:r>
    </w:p>
    <w:p>
      <w:pPr>
        <w:spacing w:after="0" w:line="8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During the two fiscal years ended December 31, 2020 and 2019 and the subsequent interim period through September 24, 2021 we did not consult with KPMG on (i) matters that involved the application of accounting principles to a specified transaction either completed or proposed, or the type of audit opinion that might be rendered on our consolidated financial statements, and neither a written report nor oral advice was provided to us that KPMG concluded was an important factor considered by us in reaching a decision as to any accounting, auditing or financial reporting issue, or (ii) any matter that was either the subject of a “disagreement” or a “reportable event” (as defined in Item 304(a)(1)(iv) and Item 304(a)(1)(v) of Regulation S-K and the related instructions, respectively).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120"/>
          </w:cols>
          <w:pgMar w:left="320" w:top="455"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April 28, 2022, our audit committee dismissed KPMG as our independent registered public accounting firm.</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KPMG has never issued an audit report on our consolidated financial statements.</w:t>
      </w:r>
    </w:p>
    <w:p>
      <w:pPr>
        <w:spacing w:after="0" w:line="144"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During the two fiscal years ended December 31, 2021 and 2020, and the subsequent period through April 28, 2022, (1) there were no disagreements (as that term is used in Item 304(a)(1)(iv) of Regulation S-K and the related instructions) between us and KPMG on any matter of accounting principles or practices, financial statement disclosure, or auditing scope or procedure, which disagreements, if not resolved to the satisfaction of KPMG, would have caused KPMG to make reference thereto in a report on our financial statements for the year ended December 31, 2020 if a report were to be issued, and (2) there were no “reportable events” as such term is defined in Item 304(a)(1)(v) of Regulation S-K.</w:t>
      </w:r>
    </w:p>
    <w:p>
      <w:pPr>
        <w:spacing w:after="0" w:line="98" w:lineRule="exact"/>
        <w:rPr>
          <w:sz w:val="20"/>
          <w:szCs w:val="20"/>
          <w:color w:val="auto"/>
        </w:rPr>
      </w:pPr>
    </w:p>
    <w:p>
      <w:pPr>
        <w:ind w:left="120" w:right="320"/>
        <w:spacing w:after="0" w:line="253" w:lineRule="auto"/>
        <w:rPr>
          <w:sz w:val="20"/>
          <w:szCs w:val="20"/>
          <w:color w:val="auto"/>
        </w:rPr>
      </w:pPr>
      <w:r>
        <w:rPr>
          <w:rFonts w:ascii="Arial" w:cs="Arial" w:eastAsia="Arial" w:hAnsi="Arial"/>
          <w:sz w:val="18"/>
          <w:szCs w:val="18"/>
          <w:color w:val="auto"/>
        </w:rPr>
        <w:t>We have provided KPMG with a copy of the disclosures set forth under the heading “Changes in Independent Registered Public Accounting Firm” and have requested that KPMG furnish a letter addressed to the SEC stating whether or not KPMG agrees with such statements. A copy of the letter is filed as Exhibit 16.1 to the registration statement of which this prospectus forms a part.</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April 28, 2022, PwC was approved as the independent registered public accounting firm for the fiscal year ended December 31, 2021.</w:t>
      </w:r>
    </w:p>
    <w:p>
      <w:pPr>
        <w:spacing w:after="0" w:line="144"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During the two most recent fiscal years ended December 31, 2021 and the subsequent interim period through April 28, 2022 we did not consult with PwC on (i) matters that involved the application of accounting principles to a specified transaction either completed or proposed, or the type of audit opinion that might be rendered on our consolidated financial statements, and neither a written report nor oral advice was provided to us that PwC concluded was an important factor considered by us in reaching a decision as to any accounting, auditing or financial reporting issue, or (ii) any matter that was either the subject of a “disagreement” or a “reportable event” (as defined in Item 304(a)(1)(iv) and Item 304(a)(1)(v) of Regulation S-K and the related instructions, respectively).</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WHERE YOU CAN FIND MORE INFORMATION</w:t>
      </w:r>
    </w:p>
    <w:p>
      <w:pPr>
        <w:spacing w:after="0" w:line="168" w:lineRule="exact"/>
        <w:rPr>
          <w:sz w:val="20"/>
          <w:szCs w:val="20"/>
          <w:color w:val="auto"/>
        </w:rPr>
      </w:pPr>
    </w:p>
    <w:p>
      <w:pPr>
        <w:ind w:left="120" w:right="260"/>
        <w:spacing w:after="0" w:line="242" w:lineRule="auto"/>
        <w:rPr>
          <w:sz w:val="20"/>
          <w:szCs w:val="20"/>
          <w:color w:val="auto"/>
        </w:rPr>
      </w:pPr>
      <w:r>
        <w:rPr>
          <w:rFonts w:ascii="Arial" w:cs="Arial" w:eastAsia="Arial" w:hAnsi="Arial"/>
          <w:sz w:val="18"/>
          <w:szCs w:val="18"/>
          <w:color w:val="auto"/>
        </w:rPr>
        <w:t>We have filed with the SEC a registration statement on Form S-1 (File Number 333- ) under the Securities Act with respect to the common stock we are offering by this prospectus. This prospectus, which constitutes part of the registration statement, does not contain all of the information included in the registration statement. For further information pertaining to us and our common stock,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Upon the completion of the offering, we will be subject to the informational requirements of the Exchange Act and will file annual, quarterly and current reports, proxy statements and other information with the SEC. You can read our SEC filings, including the registration statement, at the SEC’s website at www.sec.gov. We also maintain a website at https://www.metagenomi.co and upon completion of the offering, you may access, free of charge, our annual reports on Form 10-K, quarterly reports on Form 10-Q, current reports on Form 8-K and any amendments to those reports, as soon as reasonably practicable after such material is electronically filed with, or furnished to, the SEC. The information contained in, or that can be accessed through, our website is not part of, and is not incorporated into, this prospectus.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120"/>
          </w:cols>
          <w:pgMar w:left="320" w:top="455" w:right="4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INDEX TO FINANCIAL STATEMENTS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960" w:type="dxa"/>
            <w:vAlign w:val="bottom"/>
            <w:gridSpan w:val="7"/>
          </w:tcPr>
          <w:p>
            <w:pPr>
              <w:spacing w:after="0"/>
              <w:rPr>
                <w:sz w:val="20"/>
                <w:szCs w:val="20"/>
                <w:color w:val="auto"/>
              </w:rPr>
            </w:pPr>
            <w:r>
              <w:rPr>
                <w:rFonts w:ascii="Arial" w:cs="Arial" w:eastAsia="Arial" w:hAnsi="Arial"/>
                <w:sz w:val="18"/>
                <w:szCs w:val="18"/>
                <w:color w:val="0000EE"/>
              </w:rPr>
              <w:t>Report of Independent Registered Public Accounting Firm</w:t>
            </w:r>
          </w:p>
        </w:tc>
        <w:tc>
          <w:tcPr>
            <w:tcW w:w="2000" w:type="dxa"/>
            <w:vAlign w:val="bottom"/>
          </w:tcPr>
          <w:p>
            <w:pPr>
              <w:ind w:left="1720"/>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183"/>
        </w:trPr>
        <w:tc>
          <w:tcPr>
            <w:tcW w:w="460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Consolidated Balance Sheets</w:t>
            </w:r>
          </w:p>
        </w:tc>
        <w:tc>
          <w:tcPr>
            <w:tcW w:w="6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0" w:type="dxa"/>
            <w:vAlign w:val="bottom"/>
          </w:tcPr>
          <w:p>
            <w:pPr>
              <w:ind w:left="1720"/>
              <w:spacing w:after="0" w:line="182"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183"/>
        </w:trPr>
        <w:tc>
          <w:tcPr>
            <w:tcW w:w="236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rPr>
              <w:t>Consolidated Statements of</w:t>
            </w:r>
          </w:p>
        </w:tc>
        <w:tc>
          <w:tcPr>
            <w:tcW w:w="6600" w:type="dxa"/>
            <w:vAlign w:val="bottom"/>
            <w:gridSpan w:val="6"/>
          </w:tcPr>
          <w:p>
            <w:pPr>
              <w:spacing w:after="0" w:line="182" w:lineRule="exact"/>
              <w:rPr>
                <w:sz w:val="20"/>
                <w:szCs w:val="20"/>
                <w:color w:val="auto"/>
              </w:rPr>
            </w:pPr>
            <w:r>
              <w:rPr>
                <w:rFonts w:ascii="Arial" w:cs="Arial" w:eastAsia="Arial" w:hAnsi="Arial"/>
                <w:sz w:val="18"/>
                <w:szCs w:val="18"/>
                <w:color w:val="0000EE"/>
              </w:rPr>
              <w:t>Operations and Comprehensive Loss</w:t>
            </w:r>
          </w:p>
        </w:tc>
        <w:tc>
          <w:tcPr>
            <w:tcW w:w="2000" w:type="dxa"/>
            <w:vAlign w:val="bottom"/>
          </w:tcPr>
          <w:p>
            <w:pPr>
              <w:ind w:left="1720"/>
              <w:spacing w:after="0" w:line="182"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0"/>
        </w:trPr>
        <w:tc>
          <w:tcPr>
            <w:tcW w:w="3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vMerge w:val="restart"/>
          </w:tcPr>
          <w:p>
            <w:pPr>
              <w:ind w:left="1720"/>
              <w:spacing w:after="0" w:line="202"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line="20" w:lineRule="exact"/>
              <w:rPr>
                <w:sz w:val="1"/>
                <w:szCs w:val="1"/>
                <w:color w:val="auto"/>
              </w:rPr>
            </w:pPr>
          </w:p>
        </w:tc>
      </w:tr>
      <w:tr>
        <w:trPr>
          <w:trHeight w:val="183"/>
        </w:trPr>
        <w:tc>
          <w:tcPr>
            <w:tcW w:w="8960" w:type="dxa"/>
            <w:vAlign w:val="bottom"/>
            <w:gridSpan w:val="7"/>
          </w:tcPr>
          <w:p>
            <w:pPr>
              <w:spacing w:after="0" w:line="182" w:lineRule="exact"/>
              <w:rPr>
                <w:sz w:val="20"/>
                <w:szCs w:val="20"/>
                <w:color w:val="auto"/>
              </w:rPr>
            </w:pPr>
            <w:r>
              <w:rPr>
                <w:rFonts w:ascii="Arial" w:cs="Arial" w:eastAsia="Arial" w:hAnsi="Arial"/>
                <w:sz w:val="18"/>
                <w:szCs w:val="18"/>
                <w:color w:val="0000EE"/>
              </w:rPr>
              <w:t>Consolidated Statements of Redeemable Convertible Preferred Units and Members’ Deficit</w:t>
            </w:r>
          </w:p>
        </w:tc>
        <w:tc>
          <w:tcPr>
            <w:tcW w:w="2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Consolidated Statements of Cash Flows</w:t>
            </w:r>
          </w:p>
        </w:tc>
        <w:tc>
          <w:tcPr>
            <w:tcW w:w="4040" w:type="dxa"/>
            <w:vAlign w:val="bottom"/>
            <w:tcBorders>
              <w:top w:val="single" w:sz="8" w:color="0000EE"/>
            </w:tcBorders>
            <w:gridSpan w:val="4"/>
          </w:tcPr>
          <w:p>
            <w:pPr>
              <w:spacing w:after="0"/>
              <w:rPr>
                <w:sz w:val="15"/>
                <w:szCs w:val="15"/>
                <w:color w:val="auto"/>
              </w:rPr>
            </w:pPr>
          </w:p>
        </w:tc>
        <w:tc>
          <w:tcPr>
            <w:tcW w:w="1720" w:type="dxa"/>
            <w:vAlign w:val="bottom"/>
          </w:tcPr>
          <w:p>
            <w:pPr>
              <w:spacing w:after="0"/>
              <w:rPr>
                <w:sz w:val="15"/>
                <w:szCs w:val="15"/>
                <w:color w:val="auto"/>
              </w:rPr>
            </w:pPr>
          </w:p>
        </w:tc>
        <w:tc>
          <w:tcPr>
            <w:tcW w:w="2000" w:type="dxa"/>
            <w:vAlign w:val="bottom"/>
          </w:tcPr>
          <w:p>
            <w:pPr>
              <w:ind w:left="1720"/>
              <w:spacing w:after="0" w:line="182"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183"/>
        </w:trPr>
        <w:tc>
          <w:tcPr>
            <w:tcW w:w="8960" w:type="dxa"/>
            <w:vAlign w:val="bottom"/>
            <w:gridSpan w:val="7"/>
          </w:tcPr>
          <w:p>
            <w:pPr>
              <w:spacing w:after="0" w:line="182" w:lineRule="exact"/>
              <w:rPr>
                <w:sz w:val="20"/>
                <w:szCs w:val="20"/>
                <w:color w:val="auto"/>
              </w:rPr>
            </w:pPr>
            <w:r>
              <w:rPr>
                <w:rFonts w:ascii="Arial" w:cs="Arial" w:eastAsia="Arial" w:hAnsi="Arial"/>
                <w:sz w:val="18"/>
                <w:szCs w:val="18"/>
                <w:color w:val="0000EE"/>
              </w:rPr>
              <w:t>Notes to Consolidated Financial Statements</w:t>
            </w:r>
          </w:p>
        </w:tc>
        <w:tc>
          <w:tcPr>
            <w:tcW w:w="2000" w:type="dxa"/>
            <w:vAlign w:val="bottom"/>
          </w:tcPr>
          <w:p>
            <w:pPr>
              <w:ind w:left="1720"/>
              <w:spacing w:after="0" w:line="182"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376"/>
        </w:trPr>
        <w:tc>
          <w:tcPr>
            <w:tcW w:w="236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40" w:type="dxa"/>
            <w:vAlign w:val="bottom"/>
            <w:gridSpan w:val="2"/>
          </w:tcPr>
          <w:p>
            <w:pPr>
              <w:ind w:left="140"/>
              <w:spacing w:after="0"/>
              <w:rPr>
                <w:sz w:val="20"/>
                <w:szCs w:val="20"/>
                <w:color w:val="auto"/>
              </w:rPr>
            </w:pPr>
            <w:r>
              <w:rPr>
                <w:rFonts w:ascii="Arial" w:cs="Arial" w:eastAsia="Arial" w:hAnsi="Arial"/>
                <w:sz w:val="18"/>
                <w:szCs w:val="18"/>
                <w:color w:val="auto"/>
              </w:rPr>
              <w:t>F-1</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Report of Independent Registered Public Accounting Firm</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Managers and Members of Metagenomi Technologies, LLC</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Opinion on the Financial Statements</w:t>
      </w:r>
    </w:p>
    <w:p>
      <w:pPr>
        <w:spacing w:after="0" w:line="14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We have audited the accompanying consolidated balance sheets of Metagenomi Technologies, LLC and its subsidiary (the “Company”) as of December 31, 2022 and 2021, and the related consolidated statements of operations and comprehensive loss, of redeemable convertible preferred units and members’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Basis for Opinion</w:t>
      </w:r>
    </w:p>
    <w:p>
      <w:pPr>
        <w:spacing w:after="0" w:line="148"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93"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August 3, 2023</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2022.</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5" w:right="47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Consolidated Balance Sheets</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thousands, except units and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8" w:lineRule="exact"/>
        <w:rPr>
          <w:sz w:val="20"/>
          <w:szCs w:val="20"/>
          <w:color w:val="auto"/>
        </w:rPr>
      </w:pPr>
    </w:p>
    <w:p>
      <w:pPr>
        <w:jc w:val="right"/>
        <w:ind w:right="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12065</wp:posOffset>
            </wp:positionV>
            <wp:extent cx="121729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15" w:lineRule="exact"/>
        <w:rPr>
          <w:sz w:val="20"/>
          <w:szCs w:val="20"/>
          <w:color w:val="auto"/>
        </w:rPr>
      </w:pPr>
    </w:p>
    <w:p>
      <w:pPr>
        <w:jc w:val="both"/>
        <w:ind w:left="9500"/>
        <w:spacing w:after="0"/>
        <w:tabs>
          <w:tab w:leader="none" w:pos="1064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p>
      <w:pPr>
        <w:spacing w:after="0" w:line="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289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00"/>
        <w:spacing w:after="0" w:line="234" w:lineRule="auto"/>
        <w:rPr>
          <w:sz w:val="20"/>
          <w:szCs w:val="20"/>
          <w:color w:val="auto"/>
        </w:rPr>
      </w:pPr>
      <w:r>
        <w:rPr>
          <w:rFonts w:ascii="Arial" w:cs="Arial" w:eastAsia="Arial" w:hAnsi="Arial"/>
          <w:sz w:val="18"/>
          <w:szCs w:val="18"/>
          <w:color w:val="auto"/>
        </w:rPr>
        <w:t>Available-for-sale marketable securities</w:t>
      </w:r>
    </w:p>
    <w:p>
      <w:pPr>
        <w:ind w:left="300"/>
        <w:spacing w:after="0" w:line="235" w:lineRule="auto"/>
        <w:rPr>
          <w:sz w:val="20"/>
          <w:szCs w:val="20"/>
          <w:color w:val="auto"/>
        </w:rPr>
      </w:pPr>
      <w:r>
        <w:rPr>
          <w:rFonts w:ascii="Arial" w:cs="Arial" w:eastAsia="Arial" w:hAnsi="Arial"/>
          <w:sz w:val="18"/>
          <w:szCs w:val="18"/>
          <w:color w:val="auto"/>
        </w:rPr>
        <w:t>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Prepaid expenses and other current assets</w:t>
      </w:r>
    </w:p>
    <w:p>
      <w:pPr>
        <w:spacing w:after="0" w:line="1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289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Property and equipment, net</w:t>
      </w:r>
    </w:p>
    <w:p>
      <w:pPr>
        <w:ind w:left="120"/>
        <w:spacing w:after="0" w:line="234" w:lineRule="auto"/>
        <w:rPr>
          <w:sz w:val="20"/>
          <w:szCs w:val="20"/>
          <w:color w:val="auto"/>
        </w:rPr>
      </w:pPr>
      <w:r>
        <w:rPr>
          <w:rFonts w:ascii="Arial" w:cs="Arial" w:eastAsia="Arial" w:hAnsi="Arial"/>
          <w:sz w:val="18"/>
          <w:szCs w:val="18"/>
          <w:color w:val="auto"/>
        </w:rPr>
        <w:t>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Operating lease right-of-use assets</w:t>
      </w:r>
    </w:p>
    <w:p>
      <w:pPr>
        <w:ind w:left="120"/>
        <w:spacing w:after="0" w:line="235" w:lineRule="auto"/>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Restricted cash</w:t>
      </w:r>
    </w:p>
    <w:p>
      <w:pPr>
        <w:spacing w:after="0" w:line="1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289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Liabilities, redeemable convertible preferred units and members’ deficit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289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Accounts payable</w:t>
      </w:r>
    </w:p>
    <w:p>
      <w:pPr>
        <w:ind w:left="300"/>
        <w:spacing w:after="0" w:line="234" w:lineRule="auto"/>
        <w:rPr>
          <w:sz w:val="20"/>
          <w:szCs w:val="20"/>
          <w:color w:val="auto"/>
        </w:rPr>
      </w:pPr>
      <w:r>
        <w:rPr>
          <w:rFonts w:ascii="Arial" w:cs="Arial" w:eastAsia="Arial" w:hAnsi="Arial"/>
          <w:sz w:val="18"/>
          <w:szCs w:val="18"/>
          <w:color w:val="auto"/>
        </w:rPr>
        <w:t>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00"/>
        <w:spacing w:after="0" w:line="235" w:lineRule="auto"/>
        <w:rPr>
          <w:sz w:val="20"/>
          <w:szCs w:val="20"/>
          <w:color w:val="auto"/>
        </w:rPr>
      </w:pPr>
      <w:r>
        <w:rPr>
          <w:rFonts w:ascii="Arial" w:cs="Arial" w:eastAsia="Arial" w:hAnsi="Arial"/>
          <w:sz w:val="18"/>
          <w:szCs w:val="18"/>
          <w:color w:val="auto"/>
        </w:rPr>
        <w:t>Accrued expenses and other current liabilities</w:t>
      </w:r>
    </w:p>
    <w:p>
      <w:pPr>
        <w:ind w:left="300"/>
        <w:spacing w:after="0" w:line="235" w:lineRule="auto"/>
        <w:rPr>
          <w:sz w:val="20"/>
          <w:szCs w:val="20"/>
          <w:color w:val="auto"/>
        </w:rPr>
      </w:pPr>
      <w:r>
        <w:rPr>
          <w:rFonts w:ascii="Arial" w:cs="Arial" w:eastAsia="Arial" w:hAnsi="Arial"/>
          <w:sz w:val="18"/>
          <w:szCs w:val="18"/>
          <w:color w:val="auto"/>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00"/>
        <w:spacing w:after="0" w:line="235" w:lineRule="auto"/>
        <w:rPr>
          <w:sz w:val="20"/>
          <w:szCs w:val="20"/>
          <w:color w:val="auto"/>
        </w:rPr>
      </w:pPr>
      <w:r>
        <w:rPr>
          <w:rFonts w:ascii="Arial" w:cs="Arial" w:eastAsia="Arial" w:hAnsi="Arial"/>
          <w:sz w:val="18"/>
          <w:szCs w:val="18"/>
          <w:color w:val="auto"/>
        </w:rPr>
        <w:t>Collaboration advance</w:t>
      </w:r>
    </w:p>
    <w:p>
      <w:pPr>
        <w:ind w:left="30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2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Total current liabilities</w:t>
      </w:r>
    </w:p>
    <w:p>
      <w:pPr>
        <w:ind w:left="120"/>
        <w:spacing w:after="0"/>
        <w:rPr>
          <w:sz w:val="20"/>
          <w:szCs w:val="20"/>
          <w:color w:val="auto"/>
        </w:rPr>
      </w:pPr>
      <w:r>
        <w:rPr>
          <w:rFonts w:ascii="Arial" w:cs="Arial" w:eastAsia="Arial" w:hAnsi="Arial"/>
          <w:sz w:val="18"/>
          <w:szCs w:val="18"/>
          <w:color w:val="auto"/>
        </w:rPr>
        <w:t>Convertible promissory note and accrued interest, net of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Non-current portion of operating lease liabilities</w:t>
      </w:r>
    </w:p>
    <w:p>
      <w:pPr>
        <w:ind w:left="120"/>
        <w:spacing w:after="0" w:line="235" w:lineRule="auto"/>
        <w:rPr>
          <w:sz w:val="20"/>
          <w:szCs w:val="20"/>
          <w:color w:val="auto"/>
        </w:rPr>
      </w:pPr>
      <w:r>
        <w:rPr>
          <w:rFonts w:ascii="Arial" w:cs="Arial" w:eastAsia="Arial" w:hAnsi="Arial"/>
          <w:sz w:val="18"/>
          <w:szCs w:val="18"/>
          <w:color w:val="auto"/>
        </w:rPr>
        <w:t>Collaboration advance,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Deferred revenue, non-current</w:t>
      </w:r>
    </w:p>
    <w:p>
      <w:pPr>
        <w:ind w:left="120"/>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Total liabilities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Commitments and contingencies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289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00" w:hanging="179"/>
        <w:spacing w:after="0"/>
        <w:rPr>
          <w:sz w:val="20"/>
          <w:szCs w:val="20"/>
          <w:color w:val="auto"/>
        </w:rPr>
      </w:pPr>
      <w:r>
        <w:rPr>
          <w:rFonts w:ascii="Arial" w:cs="Arial" w:eastAsia="Arial" w:hAnsi="Arial"/>
          <w:sz w:val="18"/>
          <w:szCs w:val="18"/>
          <w:color w:val="auto"/>
        </w:rPr>
        <w:t>Redeemable convertible preferred units: 19,650,632 and 41,813,375 units authorized as of December 31, 2021 and 2022, respectively; 19,650,632 and 41,478,621 units issued and outstanding as of December 31, 2021 and 2022, respectively. Liquidation preference $76,669 and $347,335 as of December 31, 2021 and 2022, respectively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289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right="800" w:hanging="179"/>
        <w:spacing w:after="0" w:line="248" w:lineRule="auto"/>
        <w:rPr>
          <w:sz w:val="20"/>
          <w:szCs w:val="20"/>
          <w:color w:val="auto"/>
        </w:rPr>
      </w:pPr>
      <w:r>
        <w:rPr>
          <w:rFonts w:ascii="Arial" w:cs="Arial" w:eastAsia="Arial" w:hAnsi="Arial"/>
          <w:sz w:val="17"/>
          <w:szCs w:val="17"/>
          <w:color w:val="auto"/>
        </w:rPr>
        <w:t>Common units: 32,000,000 and 66,000,000 units authorized as of December 31, 2021 and 2022, respectively; 5,947,500 units issued and outstanding as of December 31, 2021 and 2022</w:t>
      </w:r>
    </w:p>
    <w:p>
      <w:pPr>
        <w:spacing w:after="0" w:line="1" w:lineRule="exact"/>
        <w:rPr>
          <w:sz w:val="20"/>
          <w:szCs w:val="20"/>
          <w:color w:val="auto"/>
        </w:rPr>
      </w:pPr>
    </w:p>
    <w:p>
      <w:pPr>
        <w:ind w:left="480" w:right="20" w:hanging="179"/>
        <w:spacing w:after="0" w:line="234" w:lineRule="auto"/>
        <w:rPr>
          <w:sz w:val="20"/>
          <w:szCs w:val="20"/>
          <w:color w:val="auto"/>
        </w:rPr>
      </w:pPr>
      <w:r>
        <w:rPr>
          <w:rFonts w:ascii="Arial" w:cs="Arial" w:eastAsia="Arial" w:hAnsi="Arial"/>
          <w:sz w:val="18"/>
          <w:szCs w:val="18"/>
          <w:color w:val="auto"/>
        </w:rPr>
        <w:t>Profits interests: 6,020,644 and 14,604,165 units authorized as of December 31, 2021 and 2022, respectively; 5,783,758 and 7,516,073 units issued and outstanding as of December 31, 2021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-383540</wp:posOffset>
            </wp:positionV>
            <wp:extent cx="6995160" cy="38608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5160" cy="386080"/>
                    </a:xfrm>
                    <a:prstGeom prst="rect">
                      <a:avLst/>
                    </a:prstGeom>
                    <a:noFill/>
                  </pic:spPr>
                </pic:pic>
              </a:graphicData>
            </a:graphic>
          </wp:anchor>
        </w:drawing>
      </w:r>
    </w:p>
    <w:p>
      <w:pPr>
        <w:ind w:left="300"/>
        <w:spacing w:after="0" w:line="237" w:lineRule="auto"/>
        <w:rPr>
          <w:sz w:val="20"/>
          <w:szCs w:val="20"/>
          <w:color w:val="auto"/>
        </w:rPr>
      </w:pPr>
      <w:r>
        <w:rPr>
          <w:rFonts w:ascii="Arial" w:cs="Arial" w:eastAsia="Arial" w:hAnsi="Arial"/>
          <w:sz w:val="18"/>
          <w:szCs w:val="18"/>
          <w:color w:val="auto"/>
        </w:rPr>
        <w:t>Accumulated other comprehensive loss</w:t>
      </w:r>
    </w:p>
    <w:p>
      <w:pPr>
        <w:ind w:left="30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Total members’ deficit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liabilities, redeemable convertible preferred units and 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6319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95160" cy="16319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88900</wp:posOffset>
            </wp:positionV>
            <wp:extent cx="570039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39,296</w:t>
            </w:r>
          </w:p>
        </w:tc>
        <w:tc>
          <w:tcPr>
            <w:tcW w:w="980" w:type="dxa"/>
            <w:vAlign w:val="bottom"/>
          </w:tcPr>
          <w:p>
            <w:pPr>
              <w:jc w:val="right"/>
              <w:spacing w:after="0"/>
              <w:rPr>
                <w:sz w:val="20"/>
                <w:szCs w:val="20"/>
                <w:color w:val="auto"/>
              </w:rPr>
            </w:pPr>
            <w:r>
              <w:rPr>
                <w:rFonts w:ascii="Arial" w:cs="Arial" w:eastAsia="Arial" w:hAnsi="Arial"/>
                <w:sz w:val="18"/>
                <w:szCs w:val="18"/>
                <w:color w:val="auto"/>
              </w:rPr>
              <w:t>$ 184,441</w:t>
            </w: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68,858</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177,690</w:t>
            </w: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1,274</w:t>
            </w:r>
          </w:p>
        </w:tc>
      </w:tr>
      <w:tr>
        <w:trPr>
          <w:trHeight w:val="221"/>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762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w:t>
            </w: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90"/>
              <w:spacing w:after="0" w:line="191" w:lineRule="exact"/>
              <w:rPr>
                <w:sz w:val="20"/>
                <w:szCs w:val="20"/>
                <w:color w:val="auto"/>
              </w:rPr>
            </w:pPr>
            <w:r>
              <w:rPr>
                <w:rFonts w:ascii="Arial" w:cs="Arial" w:eastAsia="Arial" w:hAnsi="Arial"/>
                <w:sz w:val="18"/>
                <w:szCs w:val="18"/>
                <w:color w:val="auto"/>
                <w:w w:val="98"/>
              </w:rPr>
              <w:t>108,916</w:t>
            </w:r>
          </w:p>
        </w:tc>
        <w:tc>
          <w:tcPr>
            <w:tcW w:w="980" w:type="dxa"/>
            <w:vAlign w:val="bottom"/>
          </w:tcPr>
          <w:p>
            <w:pPr>
              <w:jc w:val="right"/>
              <w:spacing w:after="0" w:line="191" w:lineRule="exact"/>
              <w:rPr>
                <w:sz w:val="20"/>
                <w:szCs w:val="20"/>
                <w:color w:val="auto"/>
              </w:rPr>
            </w:pPr>
            <w:r>
              <w:rPr>
                <w:rFonts w:ascii="Arial" w:cs="Arial" w:eastAsia="Arial" w:hAnsi="Arial"/>
                <w:sz w:val="18"/>
                <w:szCs w:val="18"/>
                <w:color w:val="auto"/>
              </w:rPr>
              <w:t>366,899</w:t>
            </w: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3,862</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16,522</w:t>
            </w: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6,417</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7,806</w:t>
            </w: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18,028</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16,736</w:t>
            </w: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669</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450</w:t>
            </w:r>
          </w:p>
        </w:tc>
      </w:tr>
      <w:tr>
        <w:trPr>
          <w:trHeight w:val="221"/>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4,100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6,073</w:t>
            </w:r>
          </w:p>
        </w:tc>
      </w:tr>
      <w:tr>
        <w:trPr>
          <w:trHeight w:val="209"/>
        </w:trPr>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8"/>
              </w:rPr>
              <w:t>141,992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$ 414,486</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tabs>
          <w:tab w:leader="none" w:pos="300" w:val="left"/>
          <w:tab w:leader="none" w:pos="1080" w:val="left"/>
          <w:tab w:leader="none" w:pos="1460" w:val="left"/>
        </w:tabs>
        <w:rPr>
          <w:sz w:val="20"/>
          <w:szCs w:val="20"/>
          <w:color w:val="auto"/>
        </w:rPr>
      </w:pPr>
      <w:r>
        <w:rPr>
          <w:rFonts w:ascii="Arial" w:cs="Arial" w:eastAsia="Arial" w:hAnsi="Arial"/>
          <w:sz w:val="18"/>
          <w:szCs w:val="18"/>
          <w:color w:val="auto"/>
        </w:rPr>
        <w:t>$</w:t>
        <w:tab/>
        <w:t>1,354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2,011</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—1,536</w:t>
      </w:r>
    </w:p>
    <w:p>
      <w:pPr>
        <w:ind w:left="320"/>
        <w:spacing w:after="0" w:line="234" w:lineRule="auto"/>
        <w:tabs>
          <w:tab w:leader="none" w:pos="1440" w:val="left"/>
        </w:tabs>
        <w:rPr>
          <w:sz w:val="20"/>
          <w:szCs w:val="20"/>
          <w:color w:val="auto"/>
        </w:rPr>
      </w:pPr>
      <w:r>
        <w:rPr>
          <w:rFonts w:ascii="Arial" w:cs="Arial" w:eastAsia="Arial" w:hAnsi="Arial"/>
          <w:sz w:val="18"/>
          <w:szCs w:val="18"/>
          <w:color w:val="auto"/>
        </w:rPr>
        <w:t>3,531</w:t>
      </w:r>
      <w:r>
        <w:rPr>
          <w:sz w:val="20"/>
          <w:szCs w:val="20"/>
          <w:color w:val="auto"/>
        </w:rPr>
        <w:tab/>
      </w:r>
      <w:r>
        <w:rPr>
          <w:rFonts w:ascii="Arial" w:cs="Arial" w:eastAsia="Arial" w:hAnsi="Arial"/>
          <w:sz w:val="18"/>
          <w:szCs w:val="18"/>
          <w:color w:val="auto"/>
        </w:rPr>
        <w:t>8,790</w:t>
      </w:r>
    </w:p>
    <w:p>
      <w:pPr>
        <w:ind w:left="1460" w:hanging="997"/>
        <w:spacing w:after="0" w:line="235" w:lineRule="auto"/>
        <w:tabs>
          <w:tab w:leader="none" w:pos="1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1,515</w:t>
      </w:r>
    </w:p>
    <w:p>
      <w:pPr>
        <w:ind w:left="320"/>
        <w:spacing w:after="0"/>
        <w:rPr>
          <w:rFonts w:ascii="Arial" w:cs="Arial" w:eastAsia="Arial" w:hAnsi="Arial"/>
          <w:sz w:val="18"/>
          <w:szCs w:val="18"/>
          <w:color w:val="auto"/>
        </w:rPr>
      </w:pPr>
      <w:r>
        <w:rPr>
          <w:rFonts w:ascii="Arial" w:cs="Arial" w:eastAsia="Arial" w:hAnsi="Arial"/>
          <w:sz w:val="18"/>
          <w:szCs w:val="18"/>
          <w:color w:val="auto"/>
        </w:rPr>
        <w:t>3,559</w:t>
      </w:r>
      <w:r>
        <w:rPr>
          <w:rFonts w:ascii="Arial" w:cs="Arial" w:eastAsia="Arial" w:hAnsi="Arial"/>
          <w:sz w:val="17"/>
          <w:szCs w:val="17"/>
          <w:color w:val="auto"/>
        </w:rPr>
        <w:t>743</w:t>
      </w:r>
    </w:p>
    <w:p>
      <w:pPr>
        <w:spacing w:after="0" w:line="1" w:lineRule="exact"/>
        <w:rPr>
          <w:sz w:val="20"/>
          <w:szCs w:val="20"/>
          <w:color w:val="auto"/>
        </w:rPr>
      </w:pPr>
    </w:p>
    <w:p>
      <w:pPr>
        <w:ind w:left="220"/>
        <w:spacing w:after="0"/>
        <w:tabs>
          <w:tab w:leader="none" w:pos="1340" w:val="left"/>
        </w:tabs>
        <w:rPr>
          <w:sz w:val="20"/>
          <w:szCs w:val="20"/>
          <w:color w:val="auto"/>
        </w:rPr>
      </w:pPr>
      <w:r>
        <w:rPr>
          <w:rFonts w:ascii="Arial" w:cs="Arial" w:eastAsia="Arial" w:hAnsi="Arial"/>
          <w:sz w:val="18"/>
          <w:szCs w:val="18"/>
          <w:color w:val="auto"/>
        </w:rPr>
        <w:t>16,041</w:t>
      </w:r>
      <w:r>
        <w:rPr>
          <w:sz w:val="20"/>
          <w:szCs w:val="20"/>
          <w:color w:val="auto"/>
        </w:rPr>
        <w:tab/>
      </w:r>
      <w:r>
        <w:rPr>
          <w:rFonts w:ascii="Arial" w:cs="Arial" w:eastAsia="Arial" w:hAnsi="Arial"/>
          <w:sz w:val="18"/>
          <w:szCs w:val="18"/>
          <w:color w:val="auto"/>
        </w:rPr>
        <w:t>33,942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121729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ind w:left="220"/>
        <w:spacing w:after="0"/>
        <w:tabs>
          <w:tab w:leader="none" w:pos="1340" w:val="left"/>
        </w:tabs>
        <w:rPr>
          <w:sz w:val="20"/>
          <w:szCs w:val="20"/>
          <w:color w:val="auto"/>
        </w:rPr>
      </w:pPr>
      <w:r>
        <w:rPr>
          <w:rFonts w:ascii="Arial" w:cs="Arial" w:eastAsia="Arial" w:hAnsi="Arial"/>
          <w:sz w:val="18"/>
          <w:szCs w:val="18"/>
          <w:color w:val="auto"/>
        </w:rPr>
        <w:t>25,172</w:t>
      </w:r>
      <w:r>
        <w:rPr>
          <w:sz w:val="20"/>
          <w:szCs w:val="20"/>
          <w:color w:val="auto"/>
        </w:rPr>
        <w:tab/>
      </w:r>
      <w:r>
        <w:rPr>
          <w:rFonts w:ascii="Arial" w:cs="Arial" w:eastAsia="Arial" w:hAnsi="Arial"/>
          <w:sz w:val="18"/>
          <w:szCs w:val="18"/>
          <w:color w:val="auto"/>
        </w:rPr>
        <w:t>48,537</w:t>
      </w:r>
    </w:p>
    <w:p>
      <w:pPr>
        <w:ind w:left="220"/>
        <w:spacing w:after="0"/>
        <w:tabs>
          <w:tab w:leader="none" w:pos="1720" w:val="left"/>
        </w:tabs>
        <w:rPr>
          <w:sz w:val="20"/>
          <w:szCs w:val="20"/>
          <w:color w:val="auto"/>
        </w:rPr>
      </w:pPr>
      <w:r>
        <w:rPr>
          <w:rFonts w:ascii="Arial" w:cs="Arial" w:eastAsia="Arial" w:hAnsi="Arial"/>
          <w:sz w:val="18"/>
          <w:szCs w:val="18"/>
          <w:color w:val="auto"/>
        </w:rPr>
        <w:t>30,276</w:t>
      </w:r>
      <w:r>
        <w:rPr>
          <w:sz w:val="20"/>
          <w:szCs w:val="20"/>
          <w:color w:val="auto"/>
        </w:rPr>
        <w:tab/>
      </w:r>
      <w:r>
        <w:rPr>
          <w:rFonts w:ascii="Arial" w:cs="Arial" w:eastAsia="Arial" w:hAnsi="Arial"/>
          <w:sz w:val="18"/>
          <w:szCs w:val="18"/>
          <w:color w:val="auto"/>
        </w:rPr>
        <w:t>—</w:t>
      </w:r>
    </w:p>
    <w:p>
      <w:pPr>
        <w:ind w:left="220"/>
        <w:spacing w:after="0" w:line="234" w:lineRule="auto"/>
        <w:tabs>
          <w:tab w:leader="none" w:pos="1340" w:val="left"/>
        </w:tabs>
        <w:rPr>
          <w:sz w:val="20"/>
          <w:szCs w:val="20"/>
          <w:color w:val="auto"/>
        </w:rPr>
      </w:pPr>
      <w:r>
        <w:rPr>
          <w:rFonts w:ascii="Arial" w:cs="Arial" w:eastAsia="Arial" w:hAnsi="Arial"/>
          <w:sz w:val="18"/>
          <w:szCs w:val="18"/>
          <w:color w:val="auto"/>
        </w:rPr>
        <w:t>17,965</w:t>
      </w:r>
      <w:r>
        <w:rPr>
          <w:sz w:val="20"/>
          <w:szCs w:val="20"/>
          <w:color w:val="auto"/>
        </w:rPr>
        <w:tab/>
      </w:r>
      <w:r>
        <w:rPr>
          <w:rFonts w:ascii="Arial" w:cs="Arial" w:eastAsia="Arial" w:hAnsi="Arial"/>
          <w:sz w:val="18"/>
          <w:szCs w:val="18"/>
          <w:color w:val="auto"/>
        </w:rPr>
        <w:t>17,056</w:t>
      </w:r>
    </w:p>
    <w:p>
      <w:pPr>
        <w:ind w:left="460"/>
        <w:spacing w:after="0" w:line="235" w:lineRule="auto"/>
        <w:tabs>
          <w:tab w:leader="none" w:pos="172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8"/>
          <w:szCs w:val="18"/>
          <w:color w:val="auto"/>
        </w:rPr>
        <w:t>—</w:t>
      </w:r>
    </w:p>
    <w:p>
      <w:pPr>
        <w:ind w:left="220"/>
        <w:spacing w:after="0" w:line="235" w:lineRule="auto"/>
        <w:tabs>
          <w:tab w:leader="none" w:pos="1340" w:val="left"/>
        </w:tabs>
        <w:rPr>
          <w:sz w:val="20"/>
          <w:szCs w:val="20"/>
          <w:color w:val="auto"/>
        </w:rPr>
      </w:pPr>
      <w:r>
        <w:rPr>
          <w:rFonts w:ascii="Arial" w:cs="Arial" w:eastAsia="Arial" w:hAnsi="Arial"/>
          <w:sz w:val="18"/>
          <w:szCs w:val="18"/>
          <w:color w:val="auto"/>
        </w:rPr>
        <w:t>23,716</w:t>
      </w:r>
      <w:r>
        <w:rPr>
          <w:sz w:val="20"/>
          <w:szCs w:val="20"/>
          <w:color w:val="auto"/>
        </w:rPr>
        <w:tab/>
      </w:r>
      <w:r>
        <w:rPr>
          <w:rFonts w:ascii="Arial" w:cs="Arial" w:eastAsia="Arial" w:hAnsi="Arial"/>
          <w:sz w:val="18"/>
          <w:szCs w:val="18"/>
          <w:color w:val="auto"/>
        </w:rPr>
        <w:t>76,185</w:t>
      </w:r>
    </w:p>
    <w:p>
      <w:pPr>
        <w:ind w:left="580"/>
        <w:spacing w:after="0"/>
        <w:rPr>
          <w:sz w:val="20"/>
          <w:szCs w:val="20"/>
          <w:color w:val="auto"/>
        </w:rPr>
      </w:pPr>
      <w:r>
        <w:rPr>
          <w:rFonts w:ascii="Arial" w:cs="Arial" w:eastAsia="Arial" w:hAnsi="Arial"/>
          <w:sz w:val="18"/>
          <w:szCs w:val="18"/>
          <w:color w:val="auto"/>
        </w:rPr>
        <w:t>—1,033</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98,041</w:t>
      </w:r>
      <w:r>
        <w:rPr>
          <w:rFonts w:ascii="Arial" w:cs="Arial" w:eastAsia="Arial" w:hAnsi="Arial"/>
          <w:sz w:val="17"/>
          <w:szCs w:val="17"/>
          <w:color w:val="auto"/>
        </w:rPr>
        <w:t>142,811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-141605</wp:posOffset>
            </wp:positionV>
            <wp:extent cx="121729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wp:posOffset>
            </wp:positionV>
            <wp:extent cx="121729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1729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20320</wp:posOffset>
            </wp:positionV>
            <wp:extent cx="121729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tabs>
          <w:tab w:leader="none" w:pos="1240" w:val="left"/>
        </w:tabs>
        <w:rPr>
          <w:sz w:val="20"/>
          <w:szCs w:val="20"/>
          <w:color w:val="auto"/>
        </w:rPr>
      </w:pPr>
      <w:r>
        <w:rPr>
          <w:rFonts w:ascii="Arial" w:cs="Arial" w:eastAsia="Arial" w:hAnsi="Arial"/>
          <w:sz w:val="18"/>
          <w:szCs w:val="18"/>
          <w:color w:val="auto"/>
        </w:rPr>
        <w:t>76,495</w:t>
      </w:r>
      <w:r>
        <w:rPr>
          <w:sz w:val="20"/>
          <w:szCs w:val="20"/>
          <w:color w:val="auto"/>
        </w:rPr>
        <w:tab/>
      </w:r>
      <w:r>
        <w:rPr>
          <w:rFonts w:ascii="Arial" w:cs="Arial" w:eastAsia="Arial" w:hAnsi="Arial"/>
          <w:sz w:val="18"/>
          <w:szCs w:val="18"/>
          <w:color w:val="auto"/>
        </w:rPr>
        <w:t>346,103</w:t>
      </w:r>
    </w:p>
    <w:p>
      <w:pPr>
        <w:spacing w:after="0" w:line="200" w:lineRule="exact"/>
        <w:rPr>
          <w:sz w:val="20"/>
          <w:szCs w:val="20"/>
          <w:color w:val="auto"/>
        </w:rPr>
      </w:pPr>
    </w:p>
    <w:p>
      <w:pPr>
        <w:spacing w:after="0" w:line="268" w:lineRule="exact"/>
        <w:rPr>
          <w:sz w:val="20"/>
          <w:szCs w:val="20"/>
          <w:color w:val="auto"/>
        </w:rPr>
      </w:pPr>
    </w:p>
    <w:p>
      <w:pPr>
        <w:ind w:left="560"/>
        <w:spacing w:after="0"/>
        <w:tabs>
          <w:tab w:leader="none" w:pos="17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26</w:t>
      </w:r>
    </w:p>
    <w:p>
      <w:pPr>
        <w:spacing w:after="0" w:line="200" w:lineRule="exact"/>
        <w:rPr>
          <w:sz w:val="20"/>
          <w:szCs w:val="20"/>
          <w:color w:val="auto"/>
        </w:rPr>
      </w:pPr>
    </w:p>
    <w:p>
      <w:pPr>
        <w:spacing w:after="0" w:line="201" w:lineRule="exact"/>
        <w:rPr>
          <w:sz w:val="20"/>
          <w:szCs w:val="20"/>
          <w:color w:val="auto"/>
        </w:rPr>
      </w:pPr>
    </w:p>
    <w:p>
      <w:pPr>
        <w:ind w:left="1460" w:hanging="997"/>
        <w:spacing w:after="0"/>
        <w:tabs>
          <w:tab w:leader="none" w:pos="1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2,509</w:t>
      </w:r>
    </w:p>
    <w:p>
      <w:pPr>
        <w:spacing w:after="0" w:line="13" w:lineRule="exact"/>
        <w:rPr>
          <w:rFonts w:ascii="Arial" w:cs="Arial" w:eastAsia="Arial" w:hAnsi="Arial"/>
          <w:sz w:val="18"/>
          <w:szCs w:val="18"/>
          <w:color w:val="auto"/>
        </w:rPr>
      </w:pPr>
    </w:p>
    <w:p>
      <w:pPr>
        <w:ind w:left="1560" w:hanging="1057"/>
        <w:spacing w:after="0"/>
        <w:tabs>
          <w:tab w:leader="none" w:pos="156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(274)</w:t>
      </w:r>
    </w:p>
    <w:p>
      <w:pPr>
        <w:spacing w:after="0" w:line="7" w:lineRule="exact"/>
        <w:rPr>
          <w:rFonts w:ascii="Arial" w:cs="Arial" w:eastAsia="Arial" w:hAnsi="Arial"/>
          <w:sz w:val="17"/>
          <w:szCs w:val="17"/>
          <w:color w:val="auto"/>
        </w:rPr>
      </w:pPr>
    </w:p>
    <w:p>
      <w:pPr>
        <w:ind w:left="160"/>
        <w:spacing w:after="0"/>
        <w:rPr>
          <w:rFonts w:ascii="Arial" w:cs="Arial" w:eastAsia="Arial" w:hAnsi="Arial"/>
          <w:sz w:val="17"/>
          <w:szCs w:val="17"/>
          <w:color w:val="auto"/>
        </w:rPr>
      </w:pPr>
      <w:r>
        <w:rPr>
          <w:rFonts w:ascii="Arial" w:cs="Arial" w:eastAsia="Arial" w:hAnsi="Arial"/>
          <w:sz w:val="18"/>
          <w:szCs w:val="18"/>
          <w:color w:val="auto"/>
        </w:rPr>
        <w:t>(33,096)(76,689)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121729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ind w:left="160"/>
        <w:spacing w:after="0"/>
        <w:tabs>
          <w:tab w:leader="none" w:pos="1280" w:val="left"/>
        </w:tabs>
        <w:rPr>
          <w:sz w:val="20"/>
          <w:szCs w:val="20"/>
          <w:color w:val="auto"/>
        </w:rPr>
      </w:pPr>
      <w:r>
        <w:rPr>
          <w:rFonts w:ascii="Arial" w:cs="Arial" w:eastAsia="Arial" w:hAnsi="Arial"/>
          <w:sz w:val="18"/>
          <w:szCs w:val="18"/>
          <w:color w:val="auto"/>
        </w:rPr>
        <w:t>(32,544)</w:t>
      </w:r>
      <w:r>
        <w:rPr>
          <w:sz w:val="20"/>
          <w:szCs w:val="20"/>
          <w:color w:val="auto"/>
        </w:rPr>
        <w:tab/>
      </w:r>
      <w:r>
        <w:rPr>
          <w:rFonts w:ascii="Arial" w:cs="Arial" w:eastAsia="Arial" w:hAnsi="Arial"/>
          <w:sz w:val="18"/>
          <w:szCs w:val="18"/>
          <w:color w:val="auto"/>
        </w:rPr>
        <w:t>(74,428)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121729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$141,992</w:t>
      </w:r>
      <w:r>
        <w:rPr>
          <w:sz w:val="20"/>
          <w:szCs w:val="20"/>
          <w:color w:val="auto"/>
        </w:rPr>
        <w:tab/>
      </w:r>
      <w:r>
        <w:rPr>
          <w:rFonts w:ascii="Arial" w:cs="Arial" w:eastAsia="Arial" w:hAnsi="Arial"/>
          <w:sz w:val="18"/>
          <w:szCs w:val="18"/>
          <w:color w:val="auto"/>
        </w:rPr>
        <w:t>$ 414,486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121729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54610</wp:posOffset>
            </wp:positionV>
            <wp:extent cx="121729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1729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80645</wp:posOffset>
            </wp:positionV>
            <wp:extent cx="129413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9413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00" w:space="300"/>
            <w:col w:w="1980"/>
          </w:cols>
          <w:pgMar w:left="320" w:top="455" w:right="49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80"/>
          </w:cols>
          <w:pgMar w:left="320" w:top="455" w:right="499" w:bottom="1440" w:gutter="0" w:footer="0" w:header="0"/>
          <w:type w:val="continuous"/>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Consolidated Statements of Operations and Comprehensive Loss</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thousands, except units and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7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5"/>
          </w:tcPr>
          <w:p>
            <w:pPr>
              <w:jc w:val="right"/>
              <w:ind w:right="120"/>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183"/>
        </w:trPr>
        <w:tc>
          <w:tcPr>
            <w:tcW w:w="70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211"/>
              <w:spacing w:after="0" w:line="183" w:lineRule="exact"/>
              <w:rPr>
                <w:sz w:val="20"/>
                <w:szCs w:val="20"/>
                <w:color w:val="auto"/>
              </w:rPr>
            </w:pPr>
            <w:r>
              <w:rPr>
                <w:rFonts w:ascii="Arial" w:cs="Arial" w:eastAsia="Arial" w:hAnsi="Arial"/>
                <w:sz w:val="16"/>
                <w:szCs w:val="16"/>
                <w:b w:val="1"/>
                <w:bCs w:val="1"/>
                <w:color w:val="auto"/>
              </w:rPr>
              <w:t>2021</w:t>
            </w:r>
          </w:p>
        </w:tc>
        <w:tc>
          <w:tcPr>
            <w:tcW w:w="3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Collaboration revenue</w:t>
            </w:r>
          </w:p>
        </w:tc>
        <w:tc>
          <w:tcPr>
            <w:tcW w:w="15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1"/>
              <w:spacing w:after="0" w:line="196" w:lineRule="exact"/>
              <w:rPr>
                <w:sz w:val="20"/>
                <w:szCs w:val="20"/>
                <w:color w:val="auto"/>
              </w:rPr>
            </w:pPr>
            <w:r>
              <w:rPr>
                <w:rFonts w:ascii="Arial" w:cs="Arial" w:eastAsia="Arial" w:hAnsi="Arial"/>
                <w:sz w:val="18"/>
                <w:szCs w:val="18"/>
                <w:color w:val="auto"/>
              </w:rPr>
              <w:t>243</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17,200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14,478</w:t>
            </w:r>
          </w:p>
        </w:tc>
        <w:tc>
          <w:tcPr>
            <w:tcW w:w="3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43,139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color w:val="auto"/>
              </w:rPr>
              <w:t>9,712</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operating expenses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24,190</w:t>
            </w:r>
          </w:p>
        </w:tc>
        <w:tc>
          <w:tcPr>
            <w:tcW w:w="3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61,840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040" w:type="dxa"/>
            <w:vAlign w:val="bottom"/>
          </w:tcPr>
          <w:p>
            <w:pPr>
              <w:spacing w:after="0"/>
              <w:rPr>
                <w:sz w:val="20"/>
                <w:szCs w:val="20"/>
                <w:color w:val="auto"/>
              </w:rPr>
            </w:pPr>
            <w:r>
              <w:rPr>
                <w:rFonts w:ascii="Arial" w:cs="Arial" w:eastAsia="Arial" w:hAnsi="Arial"/>
                <w:sz w:val="18"/>
                <w:szCs w:val="18"/>
                <w:color w:val="auto"/>
              </w:rPr>
              <w:t>Loss from operations</w:t>
            </w:r>
          </w:p>
        </w:tc>
        <w:tc>
          <w:tcPr>
            <w:tcW w:w="14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(23,947)</w:t>
            </w: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70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(302)</w:t>
            </w:r>
          </w:p>
        </w:tc>
        <w:tc>
          <w:tcPr>
            <w:tcW w:w="340" w:type="dxa"/>
            <w:vAlign w:val="bottom"/>
          </w:tcPr>
          <w:p>
            <w:pPr>
              <w:spacing w:after="0"/>
              <w:rPr>
                <w:sz w:val="17"/>
                <w:szCs w:val="17"/>
                <w:color w:val="auto"/>
              </w:rPr>
            </w:pP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3,419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Change in fair value of long-term investments</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2,760</w:t>
            </w:r>
          </w:p>
        </w:tc>
        <w:tc>
          <w:tcPr>
            <w:tcW w:w="34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income, net</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40" w:type="dxa"/>
            <w:vAlign w:val="bottom"/>
          </w:tcPr>
          <w:p>
            <w:pPr>
              <w:ind w:left="360"/>
              <w:spacing w:after="0"/>
              <w:rPr>
                <w:sz w:val="20"/>
                <w:szCs w:val="20"/>
                <w:color w:val="auto"/>
              </w:rPr>
            </w:pPr>
            <w:r>
              <w:rPr>
                <w:rFonts w:ascii="Arial" w:cs="Arial" w:eastAsia="Arial" w:hAnsi="Arial"/>
                <w:sz w:val="18"/>
                <w:szCs w:val="18"/>
                <w:color w:val="auto"/>
              </w:rPr>
              <w:t>Total other income</w:t>
            </w:r>
          </w:p>
        </w:tc>
        <w:tc>
          <w:tcPr>
            <w:tcW w:w="1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2,505</w:t>
            </w: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provision for income taxes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(21,442)</w:t>
            </w:r>
          </w:p>
        </w:tc>
        <w:tc>
          <w:tcPr>
            <w:tcW w:w="3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(41,024)</w:t>
            </w:r>
          </w:p>
        </w:tc>
        <w:tc>
          <w:tcPr>
            <w:tcW w:w="0" w:type="dxa"/>
            <w:vAlign w:val="bottom"/>
          </w:tcPr>
          <w:p>
            <w:pPr>
              <w:spacing w:after="0"/>
              <w:rPr>
                <w:sz w:val="1"/>
                <w:szCs w:val="1"/>
                <w:color w:val="auto"/>
              </w:rPr>
            </w:pPr>
          </w:p>
        </w:tc>
      </w:tr>
      <w:tr>
        <w:trPr>
          <w:trHeight w:val="203"/>
        </w:trPr>
        <w:tc>
          <w:tcPr>
            <w:tcW w:w="7040" w:type="dxa"/>
            <w:vAlign w:val="bottom"/>
          </w:tcPr>
          <w:p>
            <w:pPr>
              <w:ind w:left="180"/>
              <w:spacing w:after="0" w:line="202" w:lineRule="exact"/>
              <w:rPr>
                <w:sz w:val="20"/>
                <w:szCs w:val="20"/>
                <w:color w:val="auto"/>
              </w:rPr>
            </w:pPr>
            <w:r>
              <w:rPr>
                <w:rFonts w:ascii="Arial" w:cs="Arial" w:eastAsia="Arial" w:hAnsi="Arial"/>
                <w:sz w:val="18"/>
                <w:szCs w:val="18"/>
                <w:color w:val="auto"/>
              </w:rPr>
              <w:t>Provision for income taxes</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(21,442)</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(43,593)</w:t>
            </w: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Unrealized loss on available-for-sale marketable securities, net</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0"/>
        </w:trPr>
        <w:tc>
          <w:tcPr>
            <w:tcW w:w="70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4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(21,463)</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unit attributable to common unitholders, basic and diluted</w:t>
            </w:r>
          </w:p>
        </w:tc>
        <w:tc>
          <w:tcPr>
            <w:tcW w:w="15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1"/>
              <w:spacing w:after="0" w:line="196" w:lineRule="exact"/>
              <w:rPr>
                <w:sz w:val="20"/>
                <w:szCs w:val="20"/>
                <w:color w:val="auto"/>
              </w:rPr>
            </w:pPr>
            <w:r>
              <w:rPr>
                <w:rFonts w:ascii="Arial" w:cs="Arial" w:eastAsia="Arial" w:hAnsi="Arial"/>
                <w:sz w:val="18"/>
                <w:szCs w:val="18"/>
                <w:color w:val="auto"/>
              </w:rPr>
              <w:t>(3.77)</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Weighted average common units outstanding, basic and diluted</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040" w:type="dxa"/>
            <w:vAlign w:val="bottom"/>
            <w:vMerge w:val="continue"/>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w w:val="99"/>
              </w:rPr>
              <w:t>5,691,431</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5,938,654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7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5" w:right="4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120" w:right="1020"/>
        <w:spacing w:after="0" w:line="254" w:lineRule="auto"/>
        <w:rPr>
          <w:sz w:val="20"/>
          <w:szCs w:val="20"/>
          <w:color w:val="auto"/>
        </w:rPr>
      </w:pPr>
      <w:r>
        <w:rPr>
          <w:rFonts w:ascii="Arial" w:cs="Arial" w:eastAsia="Arial" w:hAnsi="Arial"/>
          <w:sz w:val="29"/>
          <w:szCs w:val="29"/>
          <w:b w:val="1"/>
          <w:bCs w:val="1"/>
          <w:color w:val="auto"/>
        </w:rPr>
        <w:t>Consolidated Statements of Redeemable Convertible Preferred Units and Members’ Deficit</w:t>
      </w:r>
    </w:p>
    <w:p>
      <w:pPr>
        <w:ind w:left="120"/>
        <w:spacing w:after="0" w:line="238" w:lineRule="auto"/>
        <w:rPr>
          <w:sz w:val="20"/>
          <w:szCs w:val="20"/>
          <w:color w:val="auto"/>
        </w:rPr>
      </w:pPr>
      <w:r>
        <w:rPr>
          <w:rFonts w:ascii="Arial" w:cs="Arial" w:eastAsia="Arial" w:hAnsi="Arial"/>
          <w:sz w:val="18"/>
          <w:szCs w:val="18"/>
          <w:b w:val="1"/>
          <w:bCs w:val="1"/>
          <w:color w:val="auto"/>
        </w:rPr>
        <w:t>(in thousands, except units)</w:t>
      </w:r>
    </w:p>
    <w:tbl>
      <w:tblPr>
        <w:tblLayout w:type="fixed"/>
        <w:tblInd w:w="120" w:type="dxa"/>
        <w:tblCellMar>
          <w:top w:w="0" w:type="dxa"/>
          <w:left w:w="0" w:type="dxa"/>
          <w:bottom w:w="0" w:type="dxa"/>
          <w:right w:w="0" w:type="dxa"/>
        </w:tblCellMar>
      </w:tblPr>
      <w:tr>
        <w:trPr>
          <w:trHeight w:val="200"/>
        </w:trPr>
        <w:tc>
          <w:tcPr>
            <w:tcW w:w="2800" w:type="dxa"/>
            <w:vAlign w:val="bottom"/>
            <w:tcBorders>
              <w:top w:val="single" w:sz="8" w:color="auto"/>
            </w:tcBorders>
          </w:tcPr>
          <w:p>
            <w:pPr>
              <w:spacing w:after="0"/>
              <w:rPr>
                <w:sz w:val="17"/>
                <w:szCs w:val="17"/>
                <w:color w:val="auto"/>
              </w:rPr>
            </w:pPr>
          </w:p>
        </w:tc>
        <w:tc>
          <w:tcPr>
            <w:tcW w:w="1760" w:type="dxa"/>
            <w:vAlign w:val="bottom"/>
            <w:tcBorders>
              <w:top w:val="single" w:sz="8" w:color="auto"/>
              <w:right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Redeemable</w:t>
            </w: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1760" w:type="dxa"/>
            <w:vAlign w:val="bottom"/>
            <w:tcBorders>
              <w:right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Convertible Preferred</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4"/>
                <w:szCs w:val="14"/>
                <w:color w:val="auto"/>
              </w:rPr>
            </w:pPr>
          </w:p>
        </w:tc>
        <w:tc>
          <w:tcPr>
            <w:tcW w:w="14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Common Units</w:t>
            </w:r>
          </w:p>
        </w:tc>
        <w:tc>
          <w:tcPr>
            <w:tcW w:w="1460" w:type="dxa"/>
            <w:vAlign w:val="bottom"/>
            <w:gridSpan w:val="3"/>
          </w:tcPr>
          <w:p>
            <w:pPr>
              <w:ind w:left="380"/>
              <w:spacing w:after="0"/>
              <w:rPr>
                <w:sz w:val="20"/>
                <w:szCs w:val="20"/>
                <w:color w:val="auto"/>
              </w:rPr>
            </w:pPr>
            <w:r>
              <w:rPr>
                <w:rFonts w:ascii="Arial" w:cs="Arial" w:eastAsia="Arial" w:hAnsi="Arial"/>
                <w:sz w:val="14"/>
                <w:szCs w:val="14"/>
                <w:b w:val="1"/>
                <w:bCs w:val="1"/>
                <w:color w:val="auto"/>
                <w:w w:val="99"/>
              </w:rPr>
              <w:t>Profits Interests</w:t>
            </w: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Comprehensive</w:t>
            </w: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Units</w:t>
            </w: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right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Units</w:t>
            </w:r>
          </w:p>
        </w:tc>
        <w:tc>
          <w:tcPr>
            <w:tcW w:w="600" w:type="dxa"/>
            <w:vAlign w:val="bottom"/>
            <w:tcBorders>
              <w:top w:val="single" w:sz="8" w:color="auto"/>
              <w:bottom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ind w:left="380"/>
              <w:spacing w:after="0" w:line="155" w:lineRule="exact"/>
              <w:rPr>
                <w:sz w:val="20"/>
                <w:szCs w:val="20"/>
                <w:color w:val="auto"/>
              </w:rPr>
            </w:pPr>
            <w:r>
              <w:rPr>
                <w:rFonts w:ascii="Arial" w:cs="Arial" w:eastAsia="Arial" w:hAnsi="Arial"/>
                <w:sz w:val="14"/>
                <w:szCs w:val="14"/>
                <w:b w:val="1"/>
                <w:bCs w:val="1"/>
                <w:color w:val="auto"/>
              </w:rPr>
              <w:t>Units</w:t>
            </w:r>
          </w:p>
        </w:tc>
        <w:tc>
          <w:tcPr>
            <w:tcW w:w="620" w:type="dxa"/>
            <w:vAlign w:val="bottom"/>
            <w:tcBorders>
              <w:top w:val="single" w:sz="8" w:color="auto"/>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w w:val="98"/>
              </w:rPr>
              <w:t>Amount</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Loss</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56"/>
        </w:trPr>
        <w:tc>
          <w:tcPr>
            <w:tcW w:w="28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BALANCE—January 1, 2021</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18,069,695</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3"/>
            <w:shd w:val="clear" w:color="auto" w:fill="CCEEFF"/>
          </w:tcPr>
          <w:p>
            <w:pPr>
              <w:jc w:val="right"/>
              <w:ind w:right="260"/>
              <w:spacing w:after="0" w:line="155" w:lineRule="exact"/>
              <w:rPr>
                <w:sz w:val="20"/>
                <w:szCs w:val="20"/>
                <w:color w:val="auto"/>
              </w:rPr>
            </w:pPr>
            <w:r>
              <w:rPr>
                <w:rFonts w:ascii="Arial" w:cs="Arial" w:eastAsia="Arial" w:hAnsi="Arial"/>
                <w:sz w:val="14"/>
                <w:szCs w:val="14"/>
                <w:color w:val="auto"/>
              </w:rPr>
              <w:t>66,547</w:t>
            </w: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5,947,500</w:t>
            </w:r>
          </w:p>
        </w:tc>
        <w:tc>
          <w:tcPr>
            <w:tcW w:w="280" w:type="dxa"/>
            <w:vAlign w:val="bottom"/>
            <w:shd w:val="clear" w:color="auto" w:fill="CCEEFF"/>
          </w:tcPr>
          <w:p>
            <w:pPr>
              <w:ind w:left="60"/>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26</w:t>
            </w:r>
          </w:p>
        </w:tc>
        <w:tc>
          <w:tcPr>
            <w:tcW w:w="84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2,302,239</w:t>
            </w:r>
          </w:p>
        </w:tc>
        <w:tc>
          <w:tcPr>
            <w:tcW w:w="200" w:type="dxa"/>
            <w:vAlign w:val="bottom"/>
            <w:shd w:val="clear" w:color="auto" w:fill="CCEEFF"/>
          </w:tcPr>
          <w:p>
            <w:pPr>
              <w:ind w:left="80"/>
              <w:spacing w:after="0" w:line="155"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172</w:t>
            </w:r>
          </w:p>
        </w:tc>
        <w:tc>
          <w:tcPr>
            <w:tcW w:w="26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60"/>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(11,654)</w:t>
            </w:r>
          </w:p>
        </w:tc>
        <w:tc>
          <w:tcPr>
            <w:tcW w:w="200" w:type="dxa"/>
            <w:vAlign w:val="bottom"/>
            <w:shd w:val="clear" w:color="auto" w:fill="CCEEFF"/>
          </w:tcPr>
          <w:p>
            <w:pPr>
              <w:ind w:left="60"/>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(11,456)</w:t>
            </w:r>
          </w:p>
        </w:tc>
        <w:tc>
          <w:tcPr>
            <w:tcW w:w="0" w:type="dxa"/>
            <w:vAlign w:val="bottom"/>
          </w:tcPr>
          <w:p>
            <w:pPr>
              <w:spacing w:after="0"/>
              <w:rPr>
                <w:sz w:val="1"/>
                <w:szCs w:val="1"/>
                <w:color w:val="auto"/>
              </w:rPr>
            </w:pPr>
          </w:p>
        </w:tc>
      </w:tr>
      <w:tr>
        <w:trPr>
          <w:trHeight w:val="153"/>
        </w:trPr>
        <w:tc>
          <w:tcPr>
            <w:tcW w:w="2800" w:type="dxa"/>
            <w:vAlign w:val="bottom"/>
          </w:tcPr>
          <w:p>
            <w:pPr>
              <w:spacing w:after="0" w:line="153" w:lineRule="exact"/>
              <w:rPr>
                <w:sz w:val="20"/>
                <w:szCs w:val="20"/>
                <w:color w:val="auto"/>
              </w:rPr>
            </w:pPr>
            <w:r>
              <w:rPr>
                <w:rFonts w:ascii="Arial" w:cs="Arial" w:eastAsia="Arial" w:hAnsi="Arial"/>
                <w:sz w:val="14"/>
                <w:szCs w:val="14"/>
                <w:color w:val="auto"/>
              </w:rPr>
              <w:t>Issuance of Series A-5 redeemable</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convertible preferred units, net of</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140"/>
              <w:spacing w:after="0"/>
              <w:rPr>
                <w:sz w:val="20"/>
                <w:szCs w:val="20"/>
                <w:color w:val="auto"/>
              </w:rPr>
            </w:pPr>
            <w:r>
              <w:rPr>
                <w:rFonts w:ascii="Arial" w:cs="Arial" w:eastAsia="Arial" w:hAnsi="Arial"/>
                <w:sz w:val="14"/>
                <w:szCs w:val="14"/>
                <w:color w:val="auto"/>
              </w:rPr>
              <w:t>issuance costs of $52</w:t>
            </w:r>
          </w:p>
        </w:tc>
        <w:tc>
          <w:tcPr>
            <w:tcW w:w="840" w:type="dxa"/>
            <w:vAlign w:val="bottom"/>
          </w:tcPr>
          <w:p>
            <w:pPr>
              <w:jc w:val="right"/>
              <w:spacing w:after="0"/>
              <w:rPr>
                <w:sz w:val="20"/>
                <w:szCs w:val="20"/>
                <w:color w:val="auto"/>
              </w:rPr>
            </w:pPr>
            <w:r>
              <w:rPr>
                <w:rFonts w:ascii="Arial" w:cs="Arial" w:eastAsia="Arial" w:hAnsi="Arial"/>
                <w:sz w:val="14"/>
                <w:szCs w:val="14"/>
                <w:color w:val="auto"/>
              </w:rPr>
              <w:t>1,580,937</w:t>
            </w:r>
          </w:p>
        </w:tc>
        <w:tc>
          <w:tcPr>
            <w:tcW w:w="14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9,948</w:t>
            </w:r>
          </w:p>
        </w:tc>
        <w:tc>
          <w:tcPr>
            <w:tcW w:w="2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Issuance of profits interests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3,550,854</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800" w:type="dxa"/>
            <w:vAlign w:val="bottom"/>
          </w:tcPr>
          <w:p>
            <w:pPr>
              <w:spacing w:after="0" w:line="153" w:lineRule="exact"/>
              <w:rPr>
                <w:sz w:val="20"/>
                <w:szCs w:val="20"/>
                <w:color w:val="auto"/>
              </w:rPr>
            </w:pPr>
            <w:r>
              <w:rPr>
                <w:rFonts w:ascii="Arial" w:cs="Arial" w:eastAsia="Arial" w:hAnsi="Arial"/>
                <w:sz w:val="14"/>
                <w:szCs w:val="14"/>
                <w:color w:val="auto"/>
              </w:rPr>
              <w:t>Cancellation and forfeiture of profits</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140"/>
              <w:spacing w:after="0"/>
              <w:rPr>
                <w:sz w:val="20"/>
                <w:szCs w:val="20"/>
                <w:color w:val="auto"/>
              </w:rPr>
            </w:pPr>
            <w:r>
              <w:rPr>
                <w:rFonts w:ascii="Arial" w:cs="Arial" w:eastAsia="Arial" w:hAnsi="Arial"/>
                <w:sz w:val="14"/>
                <w:szCs w:val="14"/>
                <w:color w:val="auto"/>
              </w:rPr>
              <w:t>interests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(69,335)</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Unit-based compensation expense</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w:t>
            </w:r>
          </w:p>
        </w:tc>
        <w:tc>
          <w:tcPr>
            <w:tcW w:w="3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(21,442)</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(21,442)</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rPr>
              <w:t>BALANCE—December 31, 2021</w:t>
            </w: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00" w:type="dxa"/>
            <w:vAlign w:val="bottom"/>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19,650,632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76,495</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5,947,500</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26</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5,783,758</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547</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(21)</w:t>
            </w:r>
          </w:p>
        </w:tc>
        <w:tc>
          <w:tcPr>
            <w:tcW w:w="320" w:type="dxa"/>
            <w:vAlign w:val="bottom"/>
          </w:tcPr>
          <w:p>
            <w:pPr>
              <w:ind w:left="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(33,096)</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(32,544)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8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Issuance of Series B redeemable</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convertible preferred units for cash, net</w:t>
            </w: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w:t>
            </w: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issuance costs of $697</w:t>
            </w:r>
          </w:p>
        </w:tc>
        <w:tc>
          <w:tcPr>
            <w:tcW w:w="840" w:type="dxa"/>
            <w:vAlign w:val="bottom"/>
          </w:tcPr>
          <w:p>
            <w:pPr>
              <w:jc w:val="right"/>
              <w:spacing w:after="0"/>
              <w:rPr>
                <w:sz w:val="20"/>
                <w:szCs w:val="20"/>
                <w:color w:val="auto"/>
              </w:rPr>
            </w:pPr>
            <w:r>
              <w:rPr>
                <w:rFonts w:ascii="Arial" w:cs="Arial" w:eastAsia="Arial" w:hAnsi="Arial"/>
                <w:sz w:val="14"/>
                <w:szCs w:val="14"/>
                <w:color w:val="auto"/>
              </w:rPr>
              <w:t>12,446,876</w:t>
            </w:r>
          </w:p>
        </w:tc>
        <w:tc>
          <w:tcPr>
            <w:tcW w:w="14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144,304</w:t>
            </w:r>
          </w:p>
        </w:tc>
        <w:tc>
          <w:tcPr>
            <w:tcW w:w="2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8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Issuance of Series B redeemable</w:t>
            </w: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convertible preferred units upon</w:t>
            </w: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conversion of convertible note and</w:t>
            </w: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interest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2,607,387</w:t>
            </w:r>
          </w:p>
        </w:tc>
        <w:tc>
          <w:tcPr>
            <w:tcW w:w="14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30,374</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800" w:type="dxa"/>
            <w:vAlign w:val="bottom"/>
          </w:tcPr>
          <w:p>
            <w:pPr>
              <w:spacing w:after="0" w:line="153" w:lineRule="exact"/>
              <w:rPr>
                <w:sz w:val="20"/>
                <w:szCs w:val="20"/>
                <w:color w:val="auto"/>
              </w:rPr>
            </w:pPr>
            <w:r>
              <w:rPr>
                <w:rFonts w:ascii="Arial" w:cs="Arial" w:eastAsia="Arial" w:hAnsi="Arial"/>
                <w:sz w:val="14"/>
                <w:szCs w:val="14"/>
                <w:color w:val="auto"/>
              </w:rPr>
              <w:t>Issuance of Series B-1 redeemable</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convertible preferred units, net of</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140"/>
              <w:spacing w:after="0"/>
              <w:rPr>
                <w:sz w:val="20"/>
                <w:szCs w:val="20"/>
                <w:color w:val="auto"/>
              </w:rPr>
            </w:pPr>
            <w:r>
              <w:rPr>
                <w:rFonts w:ascii="Arial" w:cs="Arial" w:eastAsia="Arial" w:hAnsi="Arial"/>
                <w:sz w:val="14"/>
                <w:szCs w:val="14"/>
                <w:color w:val="auto"/>
              </w:rPr>
              <w:t>issuance costs of $361</w:t>
            </w:r>
          </w:p>
        </w:tc>
        <w:tc>
          <w:tcPr>
            <w:tcW w:w="840" w:type="dxa"/>
            <w:vAlign w:val="bottom"/>
          </w:tcPr>
          <w:p>
            <w:pPr>
              <w:jc w:val="right"/>
              <w:spacing w:after="0"/>
              <w:rPr>
                <w:sz w:val="20"/>
                <w:szCs w:val="20"/>
                <w:color w:val="auto"/>
              </w:rPr>
            </w:pPr>
            <w:r>
              <w:rPr>
                <w:rFonts w:ascii="Arial" w:cs="Arial" w:eastAsia="Arial" w:hAnsi="Arial"/>
                <w:sz w:val="14"/>
                <w:szCs w:val="14"/>
                <w:color w:val="auto"/>
              </w:rPr>
              <w:t>6,773,726</w:t>
            </w:r>
          </w:p>
        </w:tc>
        <w:tc>
          <w:tcPr>
            <w:tcW w:w="140" w:type="dxa"/>
            <w:vAlign w:val="bottom"/>
          </w:tcPr>
          <w:p>
            <w:pPr>
              <w:spacing w:after="0"/>
              <w:rPr>
                <w:sz w:val="14"/>
                <w:szCs w:val="14"/>
                <w:color w:val="auto"/>
              </w:rPr>
            </w:pPr>
          </w:p>
        </w:tc>
        <w:tc>
          <w:tcPr>
            <w:tcW w:w="78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94,930</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Issuance of profits interests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2,763,356</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800" w:type="dxa"/>
            <w:vAlign w:val="bottom"/>
          </w:tcPr>
          <w:p>
            <w:pPr>
              <w:spacing w:after="0" w:line="153" w:lineRule="exact"/>
              <w:rPr>
                <w:sz w:val="20"/>
                <w:szCs w:val="20"/>
                <w:color w:val="auto"/>
              </w:rPr>
            </w:pPr>
            <w:r>
              <w:rPr>
                <w:rFonts w:ascii="Arial" w:cs="Arial" w:eastAsia="Arial" w:hAnsi="Arial"/>
                <w:sz w:val="14"/>
                <w:szCs w:val="14"/>
                <w:color w:val="auto"/>
              </w:rPr>
              <w:t>Cancellation and forfeiture of profits</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140"/>
              <w:spacing w:after="0"/>
              <w:rPr>
                <w:sz w:val="20"/>
                <w:szCs w:val="20"/>
                <w:color w:val="auto"/>
              </w:rPr>
            </w:pPr>
            <w:r>
              <w:rPr>
                <w:rFonts w:ascii="Arial" w:cs="Arial" w:eastAsia="Arial" w:hAnsi="Arial"/>
                <w:sz w:val="14"/>
                <w:szCs w:val="14"/>
                <w:color w:val="auto"/>
              </w:rPr>
              <w:t>interests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(1,031,041)</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Unit-based compensation expense</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w:t>
            </w: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1,962</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(253)</w:t>
            </w:r>
          </w:p>
        </w:tc>
        <w:tc>
          <w:tcPr>
            <w:tcW w:w="3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62"/>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(43,593)</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(43,593)</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rPr>
              <w:t>BALANCE—December 31, 2022</w:t>
            </w: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800" w:type="dxa"/>
            <w:vAlign w:val="bottom"/>
            <w:vMerge w:val="continue"/>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41,478,621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346,103</w:t>
            </w:r>
          </w:p>
        </w:tc>
        <w:tc>
          <w:tcPr>
            <w:tcW w:w="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5,947,500</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26</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7,516,073</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2,509</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(274)</w:t>
            </w:r>
          </w:p>
        </w:tc>
        <w:tc>
          <w:tcPr>
            <w:tcW w:w="320" w:type="dxa"/>
            <w:vAlign w:val="bottom"/>
          </w:tcPr>
          <w:p>
            <w:pPr>
              <w:ind w:left="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(76,689)</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(74,428)</w:t>
            </w:r>
          </w:p>
        </w:tc>
        <w:tc>
          <w:tcPr>
            <w:tcW w:w="0" w:type="dxa"/>
            <w:vAlign w:val="bottom"/>
          </w:tcPr>
          <w:p>
            <w:pPr>
              <w:spacing w:after="0"/>
              <w:rPr>
                <w:sz w:val="1"/>
                <w:szCs w:val="1"/>
                <w:color w:val="auto"/>
              </w:rPr>
            </w:pPr>
          </w:p>
        </w:tc>
      </w:tr>
      <w:tr>
        <w:trPr>
          <w:trHeight w:val="29"/>
        </w:trPr>
        <w:tc>
          <w:tcPr>
            <w:tcW w:w="2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5" w:right="4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Consolidated Statements of Cash Flows</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7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183"/>
        </w:trPr>
        <w:tc>
          <w:tcPr>
            <w:tcW w:w="78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211"/>
              <w:spacing w:after="0" w:line="183" w:lineRule="exact"/>
              <w:rPr>
                <w:sz w:val="20"/>
                <w:szCs w:val="20"/>
                <w:color w:val="auto"/>
              </w:rPr>
            </w:pPr>
            <w:r>
              <w:rPr>
                <w:rFonts w:ascii="Arial" w:cs="Arial" w:eastAsia="Arial" w:hAnsi="Arial"/>
                <w:sz w:val="16"/>
                <w:szCs w:val="16"/>
                <w:b w:val="1"/>
                <w:bCs w:val="1"/>
                <w:color w:val="auto"/>
              </w:rPr>
              <w:t>2021</w:t>
            </w:r>
          </w:p>
        </w:tc>
        <w:tc>
          <w:tcPr>
            <w:tcW w:w="4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7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80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(21,442)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(43,593)</w:t>
            </w:r>
          </w:p>
        </w:tc>
        <w:tc>
          <w:tcPr>
            <w:tcW w:w="0" w:type="dxa"/>
            <w:vAlign w:val="bottom"/>
          </w:tcPr>
          <w:p>
            <w:pPr>
              <w:spacing w:after="0"/>
              <w:rPr>
                <w:sz w:val="1"/>
                <w:szCs w:val="1"/>
                <w:color w:val="auto"/>
              </w:rPr>
            </w:pPr>
          </w:p>
        </w:tc>
      </w:tr>
      <w:tr>
        <w:trPr>
          <w:trHeight w:val="31"/>
        </w:trPr>
        <w:tc>
          <w:tcPr>
            <w:tcW w:w="7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provided by operating activities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line="202" w:lineRule="exact"/>
              <w:rPr>
                <w:sz w:val="20"/>
                <w:szCs w:val="20"/>
                <w:color w:val="auto"/>
              </w:rPr>
            </w:pPr>
            <w:r>
              <w:rPr>
                <w:rFonts w:ascii="Arial" w:cs="Arial" w:eastAsia="Arial" w:hAnsi="Arial"/>
                <w:sz w:val="18"/>
                <w:szCs w:val="18"/>
                <w:color w:val="auto"/>
              </w:rPr>
              <w:t>Unit-based compensation expense</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375</w:t>
            </w:r>
          </w:p>
        </w:tc>
        <w:tc>
          <w:tcPr>
            <w:tcW w:w="4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387</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line="202" w:lineRule="exact"/>
              <w:rPr>
                <w:sz w:val="20"/>
                <w:szCs w:val="20"/>
                <w:color w:val="auto"/>
              </w:rPr>
            </w:pPr>
            <w:r>
              <w:rPr>
                <w:rFonts w:ascii="Arial" w:cs="Arial" w:eastAsia="Arial" w:hAnsi="Arial"/>
                <w:sz w:val="18"/>
                <w:szCs w:val="18"/>
                <w:color w:val="auto"/>
              </w:rPr>
              <w:t>Loss on fixed assets write-off</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Non-cash lease expense</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937</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line="202" w:lineRule="exact"/>
              <w:rPr>
                <w:sz w:val="20"/>
                <w:szCs w:val="20"/>
                <w:color w:val="auto"/>
              </w:rPr>
            </w:pPr>
            <w:r>
              <w:rPr>
                <w:rFonts w:ascii="Arial" w:cs="Arial" w:eastAsia="Arial" w:hAnsi="Arial"/>
                <w:sz w:val="18"/>
                <w:szCs w:val="18"/>
                <w:color w:val="auto"/>
              </w:rPr>
              <w:t>Amortization of premiums and discounts on available-for-sale marketable securities, net</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203</w:t>
            </w:r>
          </w:p>
        </w:tc>
        <w:tc>
          <w:tcPr>
            <w:tcW w:w="4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Amortization of non-cash collaboration revenue</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line="202" w:lineRule="exact"/>
              <w:rPr>
                <w:sz w:val="20"/>
                <w:szCs w:val="20"/>
                <w:color w:val="auto"/>
              </w:rPr>
            </w:pPr>
            <w:r>
              <w:rPr>
                <w:rFonts w:ascii="Arial" w:cs="Arial" w:eastAsia="Arial" w:hAnsi="Arial"/>
                <w:sz w:val="18"/>
                <w:szCs w:val="18"/>
                <w:color w:val="auto"/>
              </w:rPr>
              <w:t>Non-cash interest expense</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302</w:t>
            </w:r>
          </w:p>
        </w:tc>
        <w:tc>
          <w:tcPr>
            <w:tcW w:w="4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 in fair value of long-term investments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(2,760)</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(502)</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line="202" w:lineRule="exact"/>
              <w:rPr>
                <w:sz w:val="20"/>
                <w:szCs w:val="20"/>
                <w:color w:val="auto"/>
              </w:rPr>
            </w:pPr>
            <w:r>
              <w:rPr>
                <w:rFonts w:ascii="Arial" w:cs="Arial" w:eastAsia="Arial" w:hAnsi="Arial"/>
                <w:sz w:val="18"/>
                <w:szCs w:val="18"/>
                <w:color w:val="auto"/>
              </w:rPr>
              <w:t>Contract assets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assets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68</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695</w:t>
            </w:r>
          </w:p>
        </w:tc>
        <w:tc>
          <w:tcPr>
            <w:tcW w:w="4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 payable</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line="202" w:lineRule="exact"/>
              <w:rPr>
                <w:sz w:val="20"/>
                <w:szCs w:val="20"/>
                <w:color w:val="auto"/>
              </w:rPr>
            </w:pPr>
            <w:r>
              <w:rPr>
                <w:rFonts w:ascii="Arial" w:cs="Arial" w:eastAsia="Arial" w:hAnsi="Arial"/>
                <w:sz w:val="18"/>
                <w:szCs w:val="18"/>
                <w:color w:val="auto"/>
              </w:rPr>
              <w:t>Deferred revenue and collaboration advance</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44,228</w:t>
            </w:r>
          </w:p>
        </w:tc>
        <w:tc>
          <w:tcPr>
            <w:tcW w:w="4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65,661</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1,854</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4,529</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line="202" w:lineRule="exact"/>
              <w:rPr>
                <w:sz w:val="20"/>
                <w:szCs w:val="20"/>
                <w:color w:val="auto"/>
              </w:rPr>
            </w:pPr>
            <w:r>
              <w:rPr>
                <w:rFonts w:ascii="Arial" w:cs="Arial" w:eastAsia="Arial" w:hAnsi="Arial"/>
                <w:sz w:val="18"/>
                <w:szCs w:val="18"/>
                <w:color w:val="auto"/>
              </w:rPr>
              <w:t>Operating lease liabilities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(88)</w:t>
            </w:r>
          </w:p>
        </w:tc>
        <w:tc>
          <w:tcPr>
            <w:tcW w:w="4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non-current liabilities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0"/>
        </w:trPr>
        <w:tc>
          <w:tcPr>
            <w:tcW w:w="7800" w:type="dxa"/>
            <w:vAlign w:val="bottom"/>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6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24,257</w:t>
            </w: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7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(2,903)</w:t>
            </w:r>
          </w:p>
        </w:tc>
        <w:tc>
          <w:tcPr>
            <w:tcW w:w="4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(13,977)</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available-for-sale marketable securities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(69,258)</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(214,850)</w:t>
            </w:r>
          </w:p>
        </w:tc>
        <w:tc>
          <w:tcPr>
            <w:tcW w:w="0" w:type="dxa"/>
            <w:vAlign w:val="bottom"/>
          </w:tcPr>
          <w:p>
            <w:pPr>
              <w:spacing w:after="0"/>
              <w:rPr>
                <w:sz w:val="1"/>
                <w:szCs w:val="1"/>
                <w:color w:val="auto"/>
              </w:rPr>
            </w:pPr>
          </w:p>
        </w:tc>
      </w:tr>
      <w:tr>
        <w:trPr>
          <w:trHeight w:val="202"/>
        </w:trPr>
        <w:tc>
          <w:tcPr>
            <w:tcW w:w="7800" w:type="dxa"/>
            <w:vAlign w:val="bottom"/>
          </w:tcPr>
          <w:p>
            <w:pPr>
              <w:spacing w:after="0" w:line="202" w:lineRule="exact"/>
              <w:rPr>
                <w:sz w:val="20"/>
                <w:szCs w:val="20"/>
                <w:color w:val="auto"/>
              </w:rPr>
            </w:pPr>
            <w:r>
              <w:rPr>
                <w:rFonts w:ascii="Arial" w:cs="Arial" w:eastAsia="Arial" w:hAnsi="Arial"/>
                <w:sz w:val="18"/>
                <w:szCs w:val="18"/>
                <w:color w:val="auto"/>
              </w:rPr>
              <w:t>Purchases of long-term investments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(2,155)</w:t>
            </w:r>
          </w:p>
        </w:tc>
        <w:tc>
          <w:tcPr>
            <w:tcW w:w="4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Maturities and sales of available-for-sale marketable securities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106,627</w:t>
            </w:r>
          </w:p>
        </w:tc>
        <w:tc>
          <w:tcPr>
            <w:tcW w:w="0" w:type="dxa"/>
            <w:vAlign w:val="bottom"/>
          </w:tcPr>
          <w:p>
            <w:pPr>
              <w:spacing w:after="0"/>
              <w:rPr>
                <w:sz w:val="1"/>
                <w:szCs w:val="1"/>
                <w:color w:val="auto"/>
              </w:rPr>
            </w:pPr>
          </w:p>
        </w:tc>
      </w:tr>
      <w:tr>
        <w:trPr>
          <w:trHeight w:val="210"/>
        </w:trPr>
        <w:tc>
          <w:tcPr>
            <w:tcW w:w="780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(74,316)</w:t>
            </w: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7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Proceeds from issuance of redeemable convertible preferred units, net of issuance costs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9,948</w:t>
            </w:r>
          </w:p>
        </w:tc>
        <w:tc>
          <w:tcPr>
            <w:tcW w:w="4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239,594</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issuance of convertible promissory note, net of issuance costs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29,974</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800" w:type="dxa"/>
            <w:vAlign w:val="bottom"/>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39,922</w:t>
            </w: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change in cash, cash equivalents and restricted cash</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(10,137)</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147,118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0" w:type="dxa"/>
            <w:vAlign w:val="bottom"/>
          </w:tcPr>
          <w:p>
            <w:pPr>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53,533</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at the end of the period</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43,396</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190,514</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800" w:type="dxa"/>
            <w:vAlign w:val="bottom"/>
            <w:vMerge w:val="continue"/>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39,296</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184,441</w:t>
            </w:r>
          </w:p>
        </w:tc>
        <w:tc>
          <w:tcPr>
            <w:tcW w:w="0" w:type="dxa"/>
            <w:vAlign w:val="bottom"/>
          </w:tcPr>
          <w:p>
            <w:pPr>
              <w:spacing w:after="0"/>
              <w:rPr>
                <w:sz w:val="1"/>
                <w:szCs w:val="1"/>
                <w:color w:val="auto"/>
              </w:rPr>
            </w:pPr>
          </w:p>
        </w:tc>
      </w:tr>
      <w:tr>
        <w:trPr>
          <w:trHeight w:val="210"/>
        </w:trPr>
        <w:tc>
          <w:tcPr>
            <w:tcW w:w="7800" w:type="dxa"/>
            <w:vAlign w:val="bottom"/>
          </w:tcPr>
          <w:p>
            <w:pPr>
              <w:ind w:left="180"/>
              <w:spacing w:after="0" w:line="202" w:lineRule="exact"/>
              <w:rPr>
                <w:sz w:val="20"/>
                <w:szCs w:val="20"/>
                <w:color w:val="auto"/>
              </w:rPr>
            </w:pPr>
            <w:r>
              <w:rPr>
                <w:rFonts w:ascii="Arial" w:cs="Arial" w:eastAsia="Arial" w:hAnsi="Arial"/>
                <w:sz w:val="18"/>
                <w:szCs w:val="18"/>
                <w:color w:val="auto"/>
              </w:rPr>
              <w:t>Restricted cash</w:t>
            </w:r>
          </w:p>
        </w:tc>
        <w:tc>
          <w:tcPr>
            <w:tcW w:w="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color w:val="auto"/>
              </w:rPr>
              <w:t>4,100</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43,396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190,514</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5" w:right="4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 xml:space="preserve">Consolidated Statements of Cash Flows </w:t>
      </w:r>
      <w:r>
        <w:rPr>
          <w:rFonts w:ascii="Arial" w:cs="Arial" w:eastAsia="Arial" w:hAnsi="Arial"/>
          <w:sz w:val="29"/>
          <w:szCs w:val="29"/>
          <w:color w:val="auto"/>
        </w:rPr>
        <w:t>(Continued)</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4"/>
          </w:tcPr>
          <w:p>
            <w:pPr>
              <w:spacing w:after="0"/>
              <w:rPr>
                <w:sz w:val="20"/>
                <w:szCs w:val="20"/>
                <w:color w:val="auto"/>
              </w:rPr>
            </w:pPr>
            <w:r>
              <w:rPr>
                <w:rFonts w:ascii="Arial" w:cs="Arial" w:eastAsia="Arial" w:hAnsi="Arial"/>
                <w:sz w:val="16"/>
                <w:szCs w:val="16"/>
                <w:b w:val="1"/>
                <w:bCs w:val="1"/>
                <w:color w:val="auto"/>
              </w:rPr>
              <w:t>Years ended December 31,</w:t>
            </w:r>
          </w:p>
        </w:tc>
      </w:tr>
      <w:tr>
        <w:trPr>
          <w:trHeight w:val="182"/>
        </w:trPr>
        <w:tc>
          <w:tcPr>
            <w:tcW w:w="880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52"/>
              <w:spacing w:after="0" w:line="183" w:lineRule="exact"/>
              <w:rPr>
                <w:sz w:val="20"/>
                <w:szCs w:val="20"/>
                <w:color w:val="auto"/>
              </w:rPr>
            </w:pPr>
            <w:r>
              <w:rPr>
                <w:rFonts w:ascii="Arial" w:cs="Arial" w:eastAsia="Arial" w:hAnsi="Arial"/>
                <w:sz w:val="16"/>
                <w:szCs w:val="16"/>
                <w:b w:val="1"/>
                <w:bCs w:val="1"/>
                <w:color w:val="auto"/>
              </w:rPr>
              <w:t>2021</w:t>
            </w:r>
          </w:p>
        </w:tc>
        <w:tc>
          <w:tcPr>
            <w:tcW w:w="3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5"/>
                <w:szCs w:val="15"/>
                <w:color w:val="auto"/>
              </w:rPr>
            </w:pPr>
          </w:p>
        </w:tc>
      </w:tr>
      <w:tr>
        <w:trPr>
          <w:trHeight w:val="48"/>
        </w:trPr>
        <w:tc>
          <w:tcPr>
            <w:tcW w:w="8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84"/>
        </w:trPr>
        <w:tc>
          <w:tcPr>
            <w:tcW w:w="8800" w:type="dxa"/>
            <w:vAlign w:val="bottom"/>
          </w:tcPr>
          <w:p>
            <w:pPr>
              <w:spacing w:after="0" w:line="183" w:lineRule="exact"/>
              <w:rPr>
                <w:sz w:val="20"/>
                <w:szCs w:val="20"/>
                <w:color w:val="auto"/>
              </w:rPr>
            </w:pPr>
            <w:r>
              <w:rPr>
                <w:rFonts w:ascii="Arial" w:cs="Arial" w:eastAsia="Arial" w:hAnsi="Arial"/>
                <w:sz w:val="18"/>
                <w:szCs w:val="18"/>
                <w:color w:val="auto"/>
              </w:rPr>
              <w:t>Issuance of Series B redeemable convertible preferred units upon conversion of convertible promissory</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1"/>
        </w:trPr>
        <w:tc>
          <w:tcPr>
            <w:tcW w:w="8800" w:type="dxa"/>
            <w:vAlign w:val="bottom"/>
          </w:tcPr>
          <w:p>
            <w:pPr>
              <w:ind w:left="180"/>
              <w:spacing w:after="0"/>
              <w:rPr>
                <w:sz w:val="20"/>
                <w:szCs w:val="20"/>
                <w:color w:val="auto"/>
              </w:rPr>
            </w:pPr>
            <w:r>
              <w:rPr>
                <w:rFonts w:ascii="Arial" w:cs="Arial" w:eastAsia="Arial" w:hAnsi="Arial"/>
                <w:sz w:val="18"/>
                <w:szCs w:val="18"/>
                <w:color w:val="auto"/>
              </w:rPr>
              <w:t>note and accrued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30,374</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shares of Affini-T received for collaboration revenue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1,295</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Operating lease right-of-use assets obtained in exchange for new lease liabilities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18,659</w:t>
            </w:r>
          </w:p>
        </w:tc>
        <w:tc>
          <w:tcPr>
            <w:tcW w:w="3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Non-cash expense related to a lease modification</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2,059</w:t>
            </w:r>
          </w:p>
        </w:tc>
        <w:tc>
          <w:tcPr>
            <w:tcW w:w="3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Deferred finance issuance costs included in other assets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143</w:t>
            </w:r>
          </w:p>
        </w:tc>
        <w:tc>
          <w:tcPr>
            <w:tcW w:w="3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Unpaid finance issuance costs included in accounts payable and accrued expenses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w:t>
            </w:r>
          </w:p>
        </w:tc>
        <w:tc>
          <w:tcPr>
            <w:tcW w:w="60" w:type="dxa"/>
            <w:vAlign w:val="bottom"/>
            <w:shd w:val="clear" w:color="auto" w:fill="CCEEFF"/>
          </w:tcPr>
          <w:p>
            <w:pPr>
              <w:spacing w:after="0"/>
              <w:rPr>
                <w:sz w:val="17"/>
                <w:szCs w:val="17"/>
                <w:color w:val="auto"/>
              </w:rPr>
            </w:pPr>
          </w:p>
        </w:tc>
      </w:tr>
      <w:tr>
        <w:trPr>
          <w:trHeight w:val="250"/>
        </w:trPr>
        <w:tc>
          <w:tcPr>
            <w:tcW w:w="8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Purchases of property and equipment included in accounts payable and accrued expenses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725</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5" w:right="4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Notes to the consolidated financial statements</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 Description of business, organization and liquidity</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Metagenomi Technologies, LLC (“Metagenomi”), together with its wholly owned subsidiary Metagenomi, Inc. (“Metagenomi Inc.”) (together,</w:t>
      </w:r>
    </w:p>
    <w:p>
      <w:pPr>
        <w:spacing w:after="0" w:line="25" w:lineRule="exact"/>
        <w:rPr>
          <w:sz w:val="20"/>
          <w:szCs w:val="20"/>
          <w:color w:val="auto"/>
        </w:rPr>
      </w:pPr>
    </w:p>
    <w:p>
      <w:pPr>
        <w:ind w:left="120" w:right="260"/>
        <w:spacing w:after="0" w:line="250" w:lineRule="auto"/>
        <w:rPr>
          <w:sz w:val="20"/>
          <w:szCs w:val="20"/>
          <w:color w:val="auto"/>
        </w:rPr>
      </w:pPr>
      <w:r>
        <w:rPr>
          <w:rFonts w:ascii="Arial" w:cs="Arial" w:eastAsia="Arial" w:hAnsi="Arial"/>
          <w:sz w:val="18"/>
          <w:szCs w:val="18"/>
          <w:color w:val="auto"/>
        </w:rPr>
        <w:t>the “Company”) is a gene editing biotechnology company developing therapeutics by leveraging a toolbox of next-generation gene editing systems to accurately edit DNA.</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Formation and group reorganizations</w:t>
      </w:r>
    </w:p>
    <w:p>
      <w:pPr>
        <w:spacing w:after="0" w:line="142"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auto"/>
        </w:rPr>
        <w:t>Metagenomi.co was incorporated in September 2016 in the State of Delaware and is headquartered in Emeryville, California. In September 2018, Metagenomi.co formed a subsidiary, Metagenomi Technologies, LLC, as its sole member. In November 2018, the two companies completed a reorganization where Metagenomi Technologies, LLC became the parent of Metagemoni.co. The reorganization was a transaction of entities under common control and did not change the group.</w:t>
      </w:r>
    </w:p>
    <w:p>
      <w:pPr>
        <w:spacing w:after="0" w:line="93" w:lineRule="exact"/>
        <w:rPr>
          <w:sz w:val="20"/>
          <w:szCs w:val="20"/>
          <w:color w:val="auto"/>
        </w:rPr>
      </w:pPr>
    </w:p>
    <w:p>
      <w:pPr>
        <w:ind w:left="120" w:right="560"/>
        <w:spacing w:after="0" w:line="253" w:lineRule="auto"/>
        <w:rPr>
          <w:sz w:val="20"/>
          <w:szCs w:val="20"/>
          <w:color w:val="auto"/>
        </w:rPr>
      </w:pPr>
      <w:r>
        <w:rPr>
          <w:rFonts w:ascii="Arial" w:cs="Arial" w:eastAsia="Arial" w:hAnsi="Arial"/>
          <w:sz w:val="18"/>
          <w:szCs w:val="18"/>
          <w:color w:val="auto"/>
        </w:rPr>
        <w:t>In December 2018, Metagenomi formed another wholly owned subsidiary, Metagenomi IP Technologies, LLC. Metagenomi IP Technologies, LLC did not have any operations except for the initial transfer of IP from Metagenomi.co and an ongoing license of its technology to Metagenomi.co. Key activities of Metagenomi were raising capital to support operations of Metagenomi.co.</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April 2020, Metagenomi.co changed its name to Metagenomi, Inc.</w:t>
      </w:r>
    </w:p>
    <w:p>
      <w:pPr>
        <w:spacing w:after="0" w:line="144"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In December 2021, the group completed another tax-free reorganization, whereby Metagenomi IP Technologies, LLC merged with and into Metagenomi, Inc. As of December 31, 2022, the group consisted of two entities: Metagenomi Technologies, LLC and its subsidiary, Metagenomi Inc. Both 2018 and 2021 reorganizations were accounted as transactions under common control at historical carrying values.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42"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The Company has incurred significant losses from operations since its inception. During the years ended December 31, 2021 and 2022, the Company incurred net losses of $21.4 million and $43.6 million, respectively. As of December 31, 2022, the Company had an accumulated deficit of $76.7 million.</w:t>
      </w:r>
    </w:p>
    <w:p>
      <w:pPr>
        <w:spacing w:after="0" w:line="88"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The Company has historically financed its operations primarily through issuance of redeemable convertible preferred units, convertible promissory notes and its collaboration agreements with Moderna, Affini-T and Ionis (see Note 7). The Company expects to continue to incur substantial losses, and its ability to achieve and sustain profitability will depend on the successful development, approval, and commercialization of any product candidates it may develop, and on the achievement of sufficient revenue to support its cost structure. The Company may never achieve profitability and, unless and until it does, it will need to continue to raise additional capital. Management expects that existing cash and cash equivalents and available-for-sale marketable securities of $ 362.1 million as of December 31, 2022, will be sufficient to fund its current operating plan for at least the next 12 months from the date of issuance of these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2"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(“U.S. GAAP”). The accompanying consolidated financial statements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5" w:right="4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include the accounts of Metagenomi and Metagenomi Inc., a wholly owned subsidiary. All intercompany balances and transactions have been eliminated in consolidation.</w:t>
      </w:r>
    </w:p>
    <w:p>
      <w:pPr>
        <w:spacing w:after="0" w:line="86"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color w:val="auto"/>
        </w:rPr>
        <w:t>Any reference in these notes to applicable guidance is meant to refer to the authoritative GAAP as found in the Accounting Standards Codification (“ASC”) and Accounting Standards Updates (“ASU”) of the Financial Accounting Standards Board (“FASB”).</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2"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expenses during the reporting period. On an ongoing basis, the Company evaluates estimates and assumptions, including but not limited to those related to revenue recognition under its collaboration agreements, the fair value of its common and redeemable convertible preferred units, the fair value of derivative liabilities, unit-based compensation expense, accruals for research and development expenses, the fair value of long-term investments and convertible promissory notes in private companies, the valuation of deferred tax assets, and uncertain income tax positions.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42" w:lineRule="exact"/>
        <w:rPr>
          <w:sz w:val="20"/>
          <w:szCs w:val="20"/>
          <w:color w:val="auto"/>
        </w:rPr>
      </w:pPr>
    </w:p>
    <w:p>
      <w:pPr>
        <w:ind w:left="120" w:right="340"/>
        <w:spacing w:after="0" w:line="247" w:lineRule="auto"/>
        <w:rPr>
          <w:sz w:val="20"/>
          <w:szCs w:val="20"/>
          <w:color w:val="auto"/>
        </w:rPr>
      </w:pPr>
      <w:r>
        <w:rPr>
          <w:rFonts w:ascii="Arial" w:cs="Arial" w:eastAsia="Arial" w:hAnsi="Arial"/>
          <w:sz w:val="18"/>
          <w:szCs w:val="18"/>
          <w:color w:val="auto"/>
        </w:rPr>
        <w:t>The Company operates and manages its business as one reportable and operating segment, which is the business of developing next generation gene-editing technologies and therapies. The chief executive officer, who is the chief operating decision maker, reviews financial information on an aggregate basis for purposes of allocating resources and evaluating financial performance. All of the Company’s long-lived assets are located in the United States.</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is subject to certain risks and uncertainties, including, but not limited to, changes in any of the following areas that the Company believes could have a material adverse effect on the future financial position or results of operations: the Company’s ability to advance the development of its next generation gene-editing platform, timing and ability to advance any product candidates it may develop into and through pre-clinical and clinical development; costs and timelines associated with the manufacturing of clinical supplies of any product candidates the Company may develop; regulatory approval, market acceptance of, and reimbursement for any product candidates the Company may develop; performance of third-party vendors; competition from pharmaceutical or other gene-editing companies with greater financial resources or expertise; protection of intellectual property; litigation or claims against the Company based on intellectual property or other factors; and its ability to attract and retain employees necessary to support its growth.</w:t>
      </w:r>
    </w:p>
    <w:p>
      <w:pPr>
        <w:spacing w:after="0" w:line="113"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The Company’s business and operations may be affected by worldwide economic conditions, which may continue to be impacted by global macroeconomic challenges such as the effects of the ongoing geopolitical conflicts in Ukraine, tensions in U.S.-China relations, the COVID-19 pandemic, uncertainty in the markets, including disruptions in the banking industry, and inflationary trends. Fiscal year 2022 was marked by significant market uncertainty, increasing inflationary pressures. These market dynamics may continue into 2023 and these and similar adverse market conditions may negatively impact the Company’s operations and financial position.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2"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Cash equivalents are defined as short-term, highly liquid investments with original maturities of 90 days or less at the date of purchase. As of December 31, 2021 and 2022, the Company’s cash and cash equivalents consisted of deposit accounts and investments in money market funds.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42" w:lineRule="exact"/>
        <w:rPr>
          <w:sz w:val="20"/>
          <w:szCs w:val="20"/>
          <w:color w:val="auto"/>
        </w:rPr>
      </w:pPr>
    </w:p>
    <w:p>
      <w:pPr>
        <w:ind w:left="120" w:right="20"/>
        <w:spacing w:after="0" w:line="259" w:lineRule="auto"/>
        <w:rPr>
          <w:sz w:val="20"/>
          <w:szCs w:val="20"/>
          <w:color w:val="auto"/>
        </w:rPr>
      </w:pPr>
      <w:r>
        <w:rPr>
          <w:rFonts w:ascii="Arial" w:cs="Arial" w:eastAsia="Arial" w:hAnsi="Arial"/>
          <w:sz w:val="17"/>
          <w:szCs w:val="17"/>
          <w:color w:val="auto"/>
        </w:rPr>
        <w:t>Investments with original maturities of greater than 90 days are classified as available-for-sale marketable securities on the consolidated balance sheets and consist primarily of U.S. Treasury, corporate debt obligations, commercial paper, government agency obligations and asset-backed securities. As the Company’s entire investment portfolio is considered available for use in current operations, the Company classifies all investments as available-for-sale and as current assets, even though the stated maturity may be more than one year from the current consolidated balance sheets date. Available-for-sale securities are carried at fair value, with unrealized gains and losses reported in accumulated other comprehensive loss, which is a separate component of members’ deficit in the consolidated balance sheets.</w:t>
      </w:r>
    </w:p>
    <w:p>
      <w:pPr>
        <w:spacing w:after="0" w:line="98"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The amortized cost of securities is adjusted for amortization of premiums and accretion of discounts to maturity, which are both recorded to interest income in the consolidated statements of operations and comprehensive loss.</w:t>
      </w:r>
    </w:p>
    <w:p>
      <w:pPr>
        <w:spacing w:after="0" w:line="7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Changes in the fair value of available-for-sale securities are reflected within unrealized loss on available-for-sale marketable securities, net in the consolidated statements of operations and comprehensive loss. Realized gains and losses on the sale of securities are determined by specific identification of each security’s cost basis. The Company regularly reviews its investment portfolio to determine if any security is impaired, which would require it to record an allowance for credit losses or an impairment charge in the period any such determination is made. In making this judgment, the Company evaluates, among other things, the extent to which the fair value of a security is less than its amortized cost, its intent to sell or whether it is more likely than not that the Company will be required to sell the security before recovery of its amortized cost basis, the financial condition of the issuer and any changes thereto, and, as necessary, the portion of a decline in fair value that is credit-related. This assessment could change in the future due to new developments or changes in assumptions related to any particular security. Realized gains and losses, allowances for credit losses and impairments on available-for-sale securities, if any, are recorded to interest expense, net in the consolidated statements of operations and comprehensive loss.</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Long-term investments</w:t>
      </w:r>
    </w:p>
    <w:p>
      <w:pPr>
        <w:spacing w:after="0" w:line="129"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The Company determines at the inception of each arrangement whether an investment or other interest is considered a variable interest entity (“VIE”). If the investment or other interest is determined to be a VIE, the Company evaluates whether it is considered the primary beneficiary. The primary beneficiary of a VIE is the party that meets both of the following criteria: (i) has the power to direct the activities that most significantly impact the VIE’s economic performance; and (ii) has the obligation to absorb losses or the right to receive benefits from the VIE. For investments in VIEs in which the Company is considered the primary beneficiary, the assets, liabilities and results of operations of the VIE are included in the Company’s consolidated financial statements. As of December 31, 2021 and 2022, there were no VIEs for which the Company was the primary beneficiary.</w:t>
      </w:r>
    </w:p>
    <w:p>
      <w:pPr>
        <w:spacing w:after="0" w:line="117"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If the Company concludes that it exercises significant influence over an investees’ operations, it may account for its investment either using the equity method of accounting or fair value method. The election to account for an investment at fair value is irrevocable unless an event occurs creating a new election date. If the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5" w:right="4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Company does not have a significant influence, it accounts for its investment at fair value and may elect to account for an equity security without a readily determinable fair value using the measurement alternative method. The measurement alternative method allows the Company to measure the equity investment at its cost minus impairment, if any, plus or minus changes resulting from observable price changes in orderly transactions for the identical or a similar investment of the same issuer. Changes in fair value and impairment losses are recognized as other income (expenses) in the consolidated statements of operations and comprehensive loss.</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9"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Restricted cash of $4.1 million and $6.1 million as of December 31, 2021 and 2022, respectively, represents security deposits in the form of a letter of credit issued in connection with the Company’s leases (see Note 10).</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29"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Cash and cash equivalents, marketable securities and investments in convertible promissory notes are financial instruments that potentially subject the Company to concentrations of credit risk. As of December 31, 2021 and 2022, cash consists of cash deposited with one financial institution, Silicon Valley Bank (“SVB”), and account balances exceed federally insured limits.</w:t>
      </w:r>
    </w:p>
    <w:p>
      <w:pPr>
        <w:spacing w:after="0" w:line="101"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On March 10, 2023, SVB was closed by the California Department of Financial Protection and Innovation, which appointed the Federal Deposit Insurance Corporation (“FDIC”) as receiver. On March 12, 2023 the FDIC transferred all deposits, both insured and uninsured, and substantially all assets from the former SVB to a newly created, full-service FDIC-operated “bridge bank”, Silicon Valley Bridge Bank, N.A. (“SVBB”) and the FDIC, Treasury Department, and Federal Reserve announced that all deposits will be fully protected, whether or not they had been insured by the FDIC. On March 27, 2023, First-Citizens Bank &amp; Trust Company assumed all of SVBB’s customer deposits and certain other liabilities and acquired substantially all of SVBB’s loans and certain other assets from the FDIC. As of the date of the issuance of these consolidated financial statements, the Company has full access to and control over all its cash, cash equivalents and available-for-sale marketable securities.</w:t>
      </w:r>
    </w:p>
    <w:p>
      <w:pPr>
        <w:spacing w:after="0" w:line="113"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The Company also has investments in money market funds, U.S. Treasuries, corporate debt obligations, commercial paper, government agency obligations and asset-backed securities, which can be subject to certain credit risks. The Company mitigates the risks by investing in high-grade instruments, limiting its exposure to any one issuer and monitoring the ongoing creditworthiness of the financial institutions and issuers. The Company has not experienced any losses on its financial instruments.</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collaboration revenue and contract assets</w:t>
      </w:r>
    </w:p>
    <w:p>
      <w:pPr>
        <w:spacing w:after="0" w:line="142"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The following table summarizes the percentages of collaboration revenues and of contract assets from each of the Company’s customers that individually accounted for 10% or more of its collaboration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200" w:type="dxa"/>
            <w:vAlign w:val="bottom"/>
            <w:gridSpan w:val="3"/>
          </w:tcPr>
          <w:p>
            <w:pPr>
              <w:jc w:val="right"/>
              <w:ind w:right="700"/>
              <w:spacing w:after="0"/>
              <w:rPr>
                <w:sz w:val="20"/>
                <w:szCs w:val="20"/>
                <w:color w:val="auto"/>
              </w:rPr>
            </w:pPr>
            <w:r>
              <w:rPr>
                <w:rFonts w:ascii="Arial" w:cs="Arial" w:eastAsia="Arial" w:hAnsi="Arial"/>
                <w:sz w:val="16"/>
                <w:szCs w:val="16"/>
                <w:b w:val="1"/>
                <w:bCs w:val="1"/>
                <w:color w:val="auto"/>
              </w:rPr>
              <w:t>Collaboration revenue</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Contract assets</w:t>
            </w:r>
          </w:p>
        </w:tc>
      </w:tr>
      <w:tr>
        <w:trPr>
          <w:trHeight w:val="183"/>
        </w:trPr>
        <w:tc>
          <w:tcPr>
            <w:tcW w:w="31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50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Year ended December 31,</w:t>
            </w:r>
          </w:p>
        </w:tc>
        <w:tc>
          <w:tcPr>
            <w:tcW w:w="70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5"/>
                <w:szCs w:val="15"/>
                <w:color w:val="auto"/>
              </w:rPr>
            </w:pPr>
          </w:p>
        </w:tc>
      </w:tr>
      <w:tr>
        <w:trPr>
          <w:trHeight w:val="183"/>
        </w:trPr>
        <w:tc>
          <w:tcPr>
            <w:tcW w:w="314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555"/>
              <w:spacing w:after="0" w:line="183" w:lineRule="exact"/>
              <w:rPr>
                <w:sz w:val="20"/>
                <w:szCs w:val="20"/>
                <w:color w:val="auto"/>
              </w:rPr>
            </w:pPr>
            <w:r>
              <w:rPr>
                <w:rFonts w:ascii="Arial" w:cs="Arial" w:eastAsia="Arial" w:hAnsi="Arial"/>
                <w:sz w:val="16"/>
                <w:szCs w:val="16"/>
                <w:b w:val="1"/>
                <w:bCs w:val="1"/>
                <w:color w:val="auto"/>
              </w:rPr>
              <w:t>2021</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5"/>
                <w:szCs w:val="15"/>
                <w:color w:val="auto"/>
              </w:rPr>
            </w:pPr>
          </w:p>
        </w:tc>
      </w:tr>
      <w:tr>
        <w:trPr>
          <w:trHeight w:val="196"/>
        </w:trPr>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Customer A</w:t>
            </w:r>
          </w:p>
        </w:tc>
        <w:tc>
          <w:tcPr>
            <w:tcW w:w="4860" w:type="dxa"/>
            <w:vAlign w:val="bottom"/>
            <w:gridSpan w:val="2"/>
            <w:shd w:val="clear" w:color="auto" w:fill="CCEEFF"/>
          </w:tcPr>
          <w:p>
            <w:pPr>
              <w:jc w:val="right"/>
              <w:ind w:right="555"/>
              <w:spacing w:after="0" w:line="196" w:lineRule="exact"/>
              <w:rPr>
                <w:sz w:val="20"/>
                <w:szCs w:val="20"/>
                <w:color w:val="auto"/>
              </w:rPr>
            </w:pPr>
            <w:r>
              <w:rPr>
                <w:rFonts w:ascii="Arial" w:cs="Arial" w:eastAsia="Arial" w:hAnsi="Arial"/>
                <w:sz w:val="18"/>
                <w:szCs w:val="18"/>
                <w:color w:val="auto"/>
              </w:rPr>
              <w:t>100%</w:t>
            </w:r>
          </w:p>
        </w:tc>
        <w:tc>
          <w:tcPr>
            <w:tcW w:w="1720" w:type="dxa"/>
            <w:vAlign w:val="bottom"/>
            <w:gridSpan w:val="2"/>
            <w:shd w:val="clear" w:color="auto" w:fill="CCEEFF"/>
          </w:tcPr>
          <w:p>
            <w:pPr>
              <w:jc w:val="right"/>
              <w:ind w:right="700"/>
              <w:spacing w:after="0" w:line="196" w:lineRule="exact"/>
              <w:rPr>
                <w:sz w:val="20"/>
                <w:szCs w:val="20"/>
                <w:color w:val="auto"/>
              </w:rPr>
            </w:pPr>
            <w:r>
              <w:rPr>
                <w:rFonts w:ascii="Arial" w:cs="Arial" w:eastAsia="Arial" w:hAnsi="Arial"/>
                <w:sz w:val="18"/>
                <w:szCs w:val="18"/>
                <w:color w:val="auto"/>
              </w:rPr>
              <w:t>84%</w:t>
            </w:r>
          </w:p>
        </w:tc>
        <w:tc>
          <w:tcPr>
            <w:tcW w:w="13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r>
      <w:tr>
        <w:trPr>
          <w:trHeight w:val="209"/>
        </w:trPr>
        <w:tc>
          <w:tcPr>
            <w:tcW w:w="3140" w:type="dxa"/>
            <w:vAlign w:val="bottom"/>
          </w:tcPr>
          <w:p>
            <w:pPr>
              <w:spacing w:after="0" w:line="202" w:lineRule="exact"/>
              <w:rPr>
                <w:sz w:val="20"/>
                <w:szCs w:val="20"/>
                <w:color w:val="auto"/>
              </w:rPr>
            </w:pPr>
            <w:r>
              <w:rPr>
                <w:rFonts w:ascii="Arial" w:cs="Arial" w:eastAsia="Arial" w:hAnsi="Arial"/>
                <w:sz w:val="18"/>
                <w:szCs w:val="18"/>
                <w:color w:val="auto"/>
              </w:rPr>
              <w:t>Customer B</w:t>
            </w:r>
          </w:p>
        </w:tc>
        <w:tc>
          <w:tcPr>
            <w:tcW w:w="3380" w:type="dxa"/>
            <w:vAlign w:val="bottom"/>
          </w:tcPr>
          <w:p>
            <w:pPr>
              <w:spacing w:after="0"/>
              <w:rPr>
                <w:sz w:val="18"/>
                <w:szCs w:val="18"/>
                <w:color w:val="auto"/>
              </w:rPr>
            </w:pPr>
          </w:p>
        </w:tc>
        <w:tc>
          <w:tcPr>
            <w:tcW w:w="1480" w:type="dxa"/>
            <w:vAlign w:val="bottom"/>
            <w:tcBorders>
              <w:bottom w:val="single" w:sz="8" w:color="auto"/>
            </w:tcBorders>
          </w:tcPr>
          <w:p>
            <w:pPr>
              <w:jc w:val="right"/>
              <w:ind w:right="555"/>
              <w:spacing w:after="0" w:line="202" w:lineRule="exact"/>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gridSpan w:val="2"/>
          </w:tcPr>
          <w:p>
            <w:pPr>
              <w:jc w:val="right"/>
              <w:ind w:right="700"/>
              <w:spacing w:after="0" w:line="202" w:lineRule="exact"/>
              <w:rPr>
                <w:sz w:val="20"/>
                <w:szCs w:val="20"/>
                <w:color w:val="auto"/>
              </w:rPr>
            </w:pPr>
            <w:r>
              <w:rPr>
                <w:rFonts w:ascii="Arial" w:cs="Arial" w:eastAsia="Arial" w:hAnsi="Arial"/>
                <w:sz w:val="18"/>
                <w:szCs w:val="18"/>
                <w:color w:val="auto"/>
              </w:rPr>
              <w:t>15%</w:t>
            </w: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r>
      <w:tr>
        <w:trPr>
          <w:trHeight w:val="203"/>
        </w:trPr>
        <w:tc>
          <w:tcPr>
            <w:tcW w:w="31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555"/>
              <w:spacing w:after="0" w:line="202" w:lineRule="exact"/>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99%</w:t>
            </w: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7"/>
                <w:szCs w:val="17"/>
                <w:color w:val="auto"/>
              </w:rPr>
            </w:pPr>
          </w:p>
        </w:tc>
      </w:tr>
      <w:tr>
        <w:trPr>
          <w:trHeight w:val="20"/>
        </w:trPr>
        <w:tc>
          <w:tcPr>
            <w:tcW w:w="3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3140" w:type="dxa"/>
            <w:vAlign w:val="bottom"/>
          </w:tcPr>
          <w:p>
            <w:pPr>
              <w:spacing w:after="0"/>
              <w:rPr>
                <w:sz w:val="24"/>
                <w:szCs w:val="24"/>
                <w:color w:val="auto"/>
              </w:rPr>
            </w:pPr>
          </w:p>
        </w:tc>
        <w:tc>
          <w:tcPr>
            <w:tcW w:w="4860" w:type="dxa"/>
            <w:vAlign w:val="bottom"/>
            <w:gridSpan w:val="2"/>
          </w:tcPr>
          <w:p>
            <w:pPr>
              <w:jc w:val="right"/>
              <w:ind w:right="2235"/>
              <w:spacing w:after="0"/>
              <w:rPr>
                <w:sz w:val="20"/>
                <w:szCs w:val="20"/>
                <w:color w:val="auto"/>
              </w:rPr>
            </w:pPr>
            <w:r>
              <w:rPr>
                <w:rFonts w:ascii="Arial" w:cs="Arial" w:eastAsia="Arial" w:hAnsi="Arial"/>
                <w:sz w:val="18"/>
                <w:szCs w:val="18"/>
                <w:color w:val="auto"/>
              </w:rPr>
              <w:t>F-11</w:t>
            </w: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-241935</wp:posOffset>
            </wp:positionV>
            <wp:extent cx="342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reviews its contract assets for impairment. No contract asset impairment was recorded as of December 31, 2022.</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9"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carrying amounts of cash equivalents, prepaid expenses and other current assets, accounts payable, accrued expenses and other liabilities, approximate fair value due to their short-term maturities. Financial instruments, such as money market funds, marketable securities and certain equity and long-term investments are measured at fair value at each reporting date (see Note 3).</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finance issuance costs</w:t>
      </w:r>
    </w:p>
    <w:p>
      <w:pPr>
        <w:spacing w:after="0" w:line="129" w:lineRule="exact"/>
        <w:rPr>
          <w:sz w:val="20"/>
          <w:szCs w:val="20"/>
          <w:color w:val="auto"/>
        </w:rPr>
      </w:pPr>
    </w:p>
    <w:p>
      <w:pPr>
        <w:ind w:left="120" w:right="120"/>
        <w:spacing w:after="0" w:line="245" w:lineRule="auto"/>
        <w:rPr>
          <w:sz w:val="20"/>
          <w:szCs w:val="20"/>
          <w:color w:val="auto"/>
        </w:rPr>
      </w:pPr>
      <w:r>
        <w:rPr>
          <w:rFonts w:ascii="Arial" w:cs="Arial" w:eastAsia="Arial" w:hAnsi="Arial"/>
          <w:sz w:val="18"/>
          <w:szCs w:val="18"/>
          <w:color w:val="auto"/>
        </w:rPr>
        <w:t>Deferred finance issuance costs, consisting of legal fees relating to in-process equity financings or offerings are capitalized. The deferred finance issuance costs will be offset against offering proceeds upon the completion of the financing or the offering. In the event</w:t>
      </w:r>
    </w:p>
    <w:p>
      <w:pPr>
        <w:ind w:left="120"/>
        <w:spacing w:after="0"/>
        <w:rPr>
          <w:sz w:val="20"/>
          <w:szCs w:val="20"/>
          <w:color w:val="auto"/>
        </w:rPr>
      </w:pPr>
      <w:r>
        <w:rPr>
          <w:rFonts w:ascii="Arial" w:cs="Arial" w:eastAsia="Arial" w:hAnsi="Arial"/>
          <w:sz w:val="18"/>
          <w:szCs w:val="18"/>
          <w:color w:val="auto"/>
        </w:rPr>
        <w:t>the financing or the offering is terminated or delayed, deferred finance issuance costs will be expensed immediately as a charge to general and administrative expenses in the consolidated statements of operations and comprehensive loss. As of December 31, 2021, the Company capitalized and recorded $0.1 million in issuance costs related to its Series B preferred unit financing in other assets in the consolidated balance sheets, which closed in January 2022. There were no deferred finance issuance costs as of December 31, 2022.</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Property and equipment are recorded at cost, less accumulated depreciation and amortization. Depreciation is computed using the straight-line method over the estimated useful lives of the assets, generally three to five years, and leasehold improvements are amortized over the shorter of the lease term or the estimated useful life of the asset. Repairs and maintenance expenditures, which are not considered improvements and do not extend the useful life of property and equipment, are expensed as incurred. When assets are retired or otherwise disposed of, the cost and related accumulated depreciation and amortization are removed from the consolidated balance sheets and the resulting gain or loss is reflected in the consolidated statements of operations and comprehensive loss in the period realized.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29"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Company determines whether an arrangement is or contains a lease at the inception of the arrangement and whether such a lease should be classified as a financing lease or operating lease at the commencement date of the lease. Leases with a term greater than one year are recognized on the consolidated balance sheets as operating right-of-use asset (“ROU asset”) and operating lease liabilities. We elected not to recognize the right-of-use assets and lease liabilities for leases with lease terms of one year or less (short-term leases). Lease liabilities and their corresponding ROU assets are recorded based on the present value of lease payments over the lease term. The Company considers the lease term to be the noncancelable period that it has the right to use the underlying asset, together with any periods where it is reasonably certain it will exercise an option to extend (or not terminate) the lease. As the interest rate implicit in the Company’s lease contracts is not readily determinable, the Company utilizes its incremental borrowing rate (“IBR”) based on the information available at the commencement date to determine the present value of lease payments.</w:t>
      </w:r>
    </w:p>
    <w:p>
      <w:pPr>
        <w:spacing w:after="0" w:line="116"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Rent expense for operating leases is recognized on a straight-line basis over the lease term. The Company has elected to not separate lease and non-lease components for its real estate leases and instead accounts for each</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5" w:right="45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separate lease component and the non-lease components associated with that lease component as a single lease component. Variable lease payments are recognized as incurred.</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2021 and 2022, the Company had no finance leases.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42"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that the carrying amount of an asset may not be recoverable. Recoverability is measured by comparing the carrying amount to the future undiscounted net cash flows which the assets are expected to generate. If such assets are considered to be impaired, the impairment to be recognized is measured as the amount by which the carrying amount of the assets exceeds the projected discounted future net cash flows generated by the assets. There have been no such impairments of long-lived assets in the years ended December 31, 2021 and 2022.</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Redeemable convertible preferred units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records redeemable convertible preferred units at their respective fair values on the dates of issuance, net of issuance costs. The redeemable convertible preferred units are recorded outside of permanent equity because while it is not mandatory, redemption is contingent upon the occurrence of certain events considered not solely within the Company’s control. The Company has not adjusted the carrying values of the redeemable convertible preferred units to the liquidation preferences of such units because it is uncertain whether or when a deemed liquidation event would occur that would obligate the Company to pay the liquidation preferences to holders of redeemable convertible preferred units. Subsequent adjustments to the carrying values to the liquidation preferences will be made only when it becomes probable that such a deemed liquidation event will occur.</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arrangements and revenue recognition</w:t>
      </w:r>
    </w:p>
    <w:p>
      <w:pPr>
        <w:spacing w:after="0" w:line="142"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 xml:space="preserve">At the inception of an agreement, the Company evaluates if an agreement is a collaborative arrangement within the scope of ASC 808, </w:t>
      </w:r>
      <w:r>
        <w:rPr>
          <w:rFonts w:ascii="Arial" w:cs="Arial" w:eastAsia="Arial" w:hAnsi="Arial"/>
          <w:sz w:val="18"/>
          <w:szCs w:val="18"/>
          <w:i w:val="1"/>
          <w:iCs w:val="1"/>
          <w:color w:val="auto"/>
        </w:rPr>
        <w:t xml:space="preserve">Collaborative Arrangements </w:t>
      </w:r>
      <w:r>
        <w:rPr>
          <w:rFonts w:ascii="Arial" w:cs="Arial" w:eastAsia="Arial" w:hAnsi="Arial"/>
          <w:sz w:val="18"/>
          <w:szCs w:val="18"/>
          <w:color w:val="auto"/>
        </w:rPr>
        <w:t>(“ASC 808”). For collaborative arrangements that fall within the scope of ASC 808, the Company first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determines which elements of the collaboration are deemed to be a performance obligation with a customer within the scope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For elements of collaboration arrangements that are accounted for pursuant to ASC 808 and are not subject to the guidance in ASC 606, the Company applies the revenue recognition model under ASC 606 or other guidance, as deemed appropriate.</w:t>
      </w:r>
    </w:p>
    <w:p>
      <w:pPr>
        <w:spacing w:after="0" w:line="11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Company re-evaluates whether the license agreement continues to be a collaborative arrangement, or whether the license agreement becomes a collaborative arrangement, whenever there is a change in either the roles of the participants in the arrangement or the participants’ exposure to significant risks and rewards dependent on the ultimate commercial success of the endeavor.</w:t>
      </w:r>
    </w:p>
    <w:p>
      <w:pPr>
        <w:spacing w:after="0" w:line="88" w:lineRule="exact"/>
        <w:rPr>
          <w:sz w:val="20"/>
          <w:szCs w:val="20"/>
          <w:color w:val="auto"/>
        </w:rPr>
      </w:pPr>
    </w:p>
    <w:p>
      <w:pPr>
        <w:ind w:left="120" w:right="280"/>
        <w:spacing w:after="0" w:line="242" w:lineRule="auto"/>
        <w:rPr>
          <w:sz w:val="20"/>
          <w:szCs w:val="20"/>
          <w:color w:val="auto"/>
        </w:rPr>
      </w:pPr>
      <w:r>
        <w:rPr>
          <w:rFonts w:ascii="Arial" w:cs="Arial" w:eastAsia="Arial" w:hAnsi="Arial"/>
          <w:sz w:val="18"/>
          <w:szCs w:val="18"/>
          <w:color w:val="auto"/>
        </w:rPr>
        <w:t>Under ASC 606, the Company recognizes revenue when the Company’s customer obtains control of promised goods or services, in an amount that reflects the consideration which the Company expects to receive in exchange for those goods and services. To determine revenue recognition for arrangements within the scope of ASC 606, the Company performs the following five steps: (i) identify the contract(s) with a customer; (ii) identify the performance obligations in the contract; (iii) determine the transaction price, including the constraint on variable consideration; (iv) allocate the transaction price to the performance obligations in the contract; and (v) recognize revenue when or as the Company satisfies a performance obligation.</w:t>
      </w:r>
    </w:p>
    <w:p>
      <w:pPr>
        <w:spacing w:after="0" w:line="111"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The Company’s revenue is primarily derived through its license, research, development and option agreements. These agreements may include the following types of promised goods or services: (i) grants of licenses,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hanging="4"/>
        <w:spacing w:after="0" w:line="253" w:lineRule="auto"/>
        <w:tabs>
          <w:tab w:leader="none" w:pos="37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performance of research and development services, and (iii) participation on joint research and/or development committees. They also may include options to obtain licenses to the Company’s intellectual property or to extend the term of the research activities. Payments to the Company under these arrangements typically include one or more of the following: non-refundable upfront payments; reimbursement for research services; research, development or regulatory milestone payments; profit-sharing arrangements; and royalty and commercial sales milestone payments. The event-based milestone payments, royalties and cost reimbursements represent variable consideration.</w:t>
      </w:r>
    </w:p>
    <w:p>
      <w:pPr>
        <w:ind w:left="120" w:right="180"/>
        <w:spacing w:after="0" w:line="242" w:lineRule="auto"/>
        <w:rPr>
          <w:rFonts w:ascii="Arial" w:cs="Arial" w:eastAsia="Arial" w:hAnsi="Arial"/>
          <w:sz w:val="17"/>
          <w:szCs w:val="17"/>
          <w:color w:val="auto"/>
        </w:rPr>
      </w:pPr>
      <w:r>
        <w:rPr>
          <w:rFonts w:ascii="Arial" w:cs="Arial" w:eastAsia="Arial" w:hAnsi="Arial"/>
          <w:sz w:val="18"/>
          <w:szCs w:val="18"/>
          <w:color w:val="auto"/>
        </w:rPr>
        <w:t>The Company evaluates the probability that the event-based milestones will be achieved and estimates the amount to be included in the transaction price using the most likely amount method. The Company includes cost reimbursement in the transaction price using the expected value method.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w:t>
      </w:r>
    </w:p>
    <w:p>
      <w:pPr>
        <w:spacing w:after="0" w:line="14" w:lineRule="exact"/>
        <w:rPr>
          <w:sz w:val="20"/>
          <w:szCs w:val="20"/>
          <w:color w:val="auto"/>
        </w:rPr>
      </w:pPr>
    </w:p>
    <w:p>
      <w:pPr>
        <w:ind w:left="120" w:right="260" w:hanging="4"/>
        <w:spacing w:after="0" w:line="238" w:lineRule="auto"/>
        <w:tabs>
          <w:tab w:leader="none" w:pos="5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Company allocates the total transaction price, including variable consideration that is not constrained, to each performance obligation based on the estimated standalone selling price and recognizes revenue when, or as, the performance obligation is satisfied. Amounts of variable consideration are included in the transaction price to the extent that it is probable that a significant reversal in the amount of cumulative revenue recognized will not occur. At the end of each reporting period, the Company re-evaluates the estimated variable consideration included in the transaction price and any related constraint, and if necessary, adjusts its estimate of the overall transaction price.</w:t>
      </w:r>
    </w:p>
    <w:p>
      <w:pPr>
        <w:spacing w:after="0" w:line="114"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 Company’s collaboration and license agreements include contingent payments related to sales-based milestones and royalties. Sales-based milestones and royalties are typically payable when annual sales of a covered product reach specified levels and sales occur. When intellectual property license is determined to be a predominant promise in the arrangement, sales-based milestones and royalties are recognized at the later of when the associated performance obligation has been satisfied or when the sales occur. Unlike other contingency payments, such as regulatory milestones, sales-based milestones and royalties are not included in the transaction price based on estimates at the inception of the contract, but rather, are included when the sales or usage occur.</w:t>
      </w:r>
    </w:p>
    <w:p>
      <w:pPr>
        <w:spacing w:after="0" w:line="9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cases when upfront payment contains a material right for the optional services the Company may provide in the future, the material right is treated as a separate performance obligation. The value allocated to such material right is deferred and recognized as revenue when the performance obligation is satisfied, and the optional services are provided, or when the right expires.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29"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color w:val="auto"/>
        </w:rPr>
        <w:t>A contract asset is a right to consideration in exchange for goods or services that the Company has transferred to a customer when that right is conditional and is not just subject to the passage of time. A receivable is recorded on the consolidated balance sheets when the Company has unconditional rights to consideration. As of December 31, 2022, the contract asset balance of $1.3 million related to revenue recognized and unbilled under the Affini-T Agreement (Note 7).</w:t>
      </w:r>
    </w:p>
    <w:p>
      <w:pPr>
        <w:spacing w:after="0" w:line="106"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A contract liability is an obligation to transfer goods or services for which the Company has received consideration, or for which an amount of consideration is due from the customer. Contract liabilities consist of deferred revenue and relate to amounts invoiced to, or advance consideration received from, licensees that precede the Company’s satisfaction of the associated performance obligations. The Company’s deferred revenue primarily results from upfront payments received relating to the performance obligations that are satisfied over time under the Company’s revenue arrangements (Note 7).</w:t>
      </w:r>
    </w:p>
    <w:p>
      <w:pPr>
        <w:spacing w:after="0" w:line="109"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color w:val="auto"/>
        </w:rPr>
        <w:t>The Company’s contract balances are reported in a net contract asset or liability position on a contract-by-contract basis at the end of each reporting period. Changes in the contract assets and the contract</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5" w:right="4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920"/>
        <w:spacing w:after="0" w:line="271" w:lineRule="auto"/>
        <w:rPr>
          <w:sz w:val="20"/>
          <w:szCs w:val="20"/>
          <w:color w:val="auto"/>
        </w:rPr>
      </w:pPr>
      <w:r>
        <w:rPr>
          <w:rFonts w:ascii="Arial" w:cs="Arial" w:eastAsia="Arial" w:hAnsi="Arial"/>
          <w:sz w:val="18"/>
          <w:szCs w:val="18"/>
          <w:color w:val="auto"/>
        </w:rPr>
        <w:t>liabilities balances during the period are the result of the issuance of invoices, receipts of non-refundable upfront payments and recognition of deferred revenues.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9"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Research and development costs are expensed as incurred. Research and development costs include salaries, unit-based compensation, and benefits for employees performing research and development activities, an allocation of facility and overhead expenses, expenses incurred under agreements with consultants, third-party organizations and vendors that conduct research and pre-clinical activities, regulatory support activities, manufacturing process development activities and provide supplies.</w:t>
      </w:r>
    </w:p>
    <w:p>
      <w:pPr>
        <w:spacing w:after="0" w:line="106"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Research and development expenses accruals are estimated based on the level of services performed, progress of the work orders, including the phase or completion of events, and contracted costs. The estimated costs of research and development services provided, but not yet invoiced, are included in accrued expenses and other current liabilities in the consolidated balance sheets. If the actual timing of the performance of services or the level of effort varies from the original estimates, the Company will adjust the accrual accordingly. To date, there have been no material differences between estimates of such expenses and the amounts actually incurred.</w:t>
      </w:r>
    </w:p>
    <w:p>
      <w:pPr>
        <w:spacing w:after="0" w:line="109"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capitalized and recorded in prepaid expenses and other current assets, and then expensed as the related goods are delivered or the services are performed.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costs</w:t>
      </w:r>
    </w:p>
    <w:p>
      <w:pPr>
        <w:spacing w:after="0" w:line="142"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of the recovery of the expenditure. Amounts incurred are classified as general and administrative expenses in the consolidated statements of operations and comprehensive loss.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Unit-based compensation expense</w:t>
      </w:r>
    </w:p>
    <w:p>
      <w:pPr>
        <w:spacing w:after="0" w:line="142" w:lineRule="exact"/>
        <w:rPr>
          <w:sz w:val="20"/>
          <w:szCs w:val="20"/>
          <w:color w:val="auto"/>
        </w:rPr>
      </w:pPr>
    </w:p>
    <w:p>
      <w:pPr>
        <w:ind w:left="120" w:right="180"/>
        <w:spacing w:after="0" w:line="244" w:lineRule="auto"/>
        <w:rPr>
          <w:sz w:val="20"/>
          <w:szCs w:val="20"/>
          <w:color w:val="auto"/>
        </w:rPr>
      </w:pPr>
      <w:r>
        <w:rPr>
          <w:rFonts w:ascii="Arial" w:cs="Arial" w:eastAsia="Arial" w:hAnsi="Arial"/>
          <w:sz w:val="18"/>
          <w:szCs w:val="18"/>
          <w:color w:val="auto"/>
        </w:rPr>
        <w:t>The Company’s unit-based equity awards include issuance of profits interests that are granted to employees and consultants under the 2019 Equity Incentive Plan. Profits interests usually vest over four years and are a separate class of equity with defined rights within the LLC Agreement. A profits interest is an interest in the increase in the value of the Company over the threshold amount, as determined at the time of grant on a per unit basis. The holder, therefore, has the right to participate in distributions of profits only in excess of the threshold amount. The threshold amount is based on the valuation of the common units on or around the grant date.</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The Company accounts for profits interests granted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In accordance with ASC 718, compensation expense is measured at the estimated fair value of the profits interest using the Black-Scholes option-pricing model and is included as compensation expense over the vesting period during which an employee or a consultant provides service in exchange for the award. Unit-based compensation expense is recognized over the awards’ vesting period on a straight-line basis and recorded as either research and development or general and administrative expenses in the consolidated statements of operations and comprehensive loss based on the function to which the related services are provided. Forfeitures are accounted for as they occur.</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9"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Metagenomi is taxed under the provisions of Sub chapter K- Partners and Partnerships of the Internal Revenue Code. Under those provisions, Metagenomi does not pay federal or state corporate income taxes on its taxable income. Instead, each member includes net operating income or loss for Metagenomi on its individual return.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5" w:right="4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Metagenomi Inc. uses the liability method to account for income taxes. Under this method, deferred tax assets and liabilities are determined based on differences between the financial statement carrying amounts of existing assets and liabilities and their tax bases. Deferred tax assets and liabilities are measured using enacted tax rates applied to taxable income in the years in which those temporary differences are expected to be recovered or settled. A valuation allowance is established when necessary to reduce deferred tax assets to the amount expected to be realized.</w:t>
      </w:r>
    </w:p>
    <w:p>
      <w:pPr>
        <w:spacing w:after="0" w:line="109"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Metagenomi Inc. assesses the likelihood of deferred tax assets being realized. It provides a valuation allowance when it is more likely than not that some portion or all of a deferred tax asset will not be realized. The ultimate realization of deferred tax assets is dependent upon the generation of future taxable income during the periods in which the temporary differences representing net future deductible amounts become deductible.</w:t>
      </w:r>
    </w:p>
    <w:p>
      <w:pPr>
        <w:spacing w:after="0" w:line="106"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Tax benefits related to uncertain tax positions are recognized when it is more likely than not that a tax position will be sustained during an audit. Tax positions that meet the more-likely-than-not threshold are measured at the largest amount of tax benefit that is greater than 50% likely of being realized upon settlement with the taxing authority. Interest and penalties related to unrecognized tax benefits are included within the provision for income tax.</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unit</w:t>
      </w:r>
    </w:p>
    <w:p>
      <w:pPr>
        <w:spacing w:after="0" w:line="14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Company calculates basic and diluted net loss per unit in conformity with the two-class method required for participating securities. Under the two-class method, basic net loss per unit is computed by dividing the net loss by the weighted average number of common units outstanding during the period, without consideration of potentially dilutive securities. Diluted net loss per unit is computed by dividing the net loss by the sum of the weighted average number of common units outstanding during the period plus the dilutive effects of potentially dilutive securities outstanding during the period. Potentially dilutive securities include incentive units, unvested restricted common units and redeemable convertible preferred units. The dilutive effect of incentive units and unvested restricted common units is computed using the treasury stock method and the dilutive effect of redeemable convertible preferred units is calculated using the if-converted method. For all periods presented, diluted net loss per unit is the same as basic net loss per unit since the effect of including potential dilutive securities is anti-dilutive and incentive units’ participation thresholds were not met.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42"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Comprehensive income (loss) is defined as a change in equity of a business enterprise during a period resulting from transactions from non-owner sources. The Company’s other comprehensive income (loss) is comprised solely of unrealized gains (losses) on available-for-sale marketable securities. The Company has not recorded any reclassifications from other comprehensive income (loss) to net loss during the periods presented.</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42"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The Company noted no recently issued accounting pronouncements that will impact its consolidated financial statements and were not adopted by the Company. No new accounting pronouncements were adopted during the year ended December 31, 2022.</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3. Fair value measurements</w:t>
      </w:r>
    </w:p>
    <w:p>
      <w:pPr>
        <w:spacing w:after="0" w:line="148"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Assets and liabilities recorded at fair value on a recurring basis in the consolidated balance sheets, are categorized based upon the level of judgment associated with inputs used to measure their fair values. The accounting guidance for fair value provides a framework for measuring fair value and requires certain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5" w:right="45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disclosures about how fair value is determined. The accounting guidance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unadjusted, quoted prices in active markets for identical assets or liabilities at the measurement date;</w:t>
      </w:r>
    </w:p>
    <w:p>
      <w:pPr>
        <w:spacing w:after="0" w:line="144" w:lineRule="exact"/>
        <w:rPr>
          <w:sz w:val="20"/>
          <w:szCs w:val="20"/>
          <w:color w:val="auto"/>
        </w:rPr>
      </w:pPr>
    </w:p>
    <w:p>
      <w:pPr>
        <w:jc w:val="both"/>
        <w:ind w:left="560"/>
        <w:spacing w:after="0" w:line="25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observable, unadjusted quoted prices in active markets for similar assets or liabilities, unadjusted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identical or similar assets or liabilities in markets that are not active, or other inputs that are observable or can be corroborated by observable market data for substantially the full term of the related assets or liabilities; and</w:t>
      </w:r>
    </w:p>
    <w:p>
      <w:pPr>
        <w:spacing w:after="0" w:line="88" w:lineRule="exact"/>
        <w:rPr>
          <w:sz w:val="20"/>
          <w:szCs w:val="20"/>
          <w:color w:val="auto"/>
        </w:rPr>
      </w:pPr>
    </w:p>
    <w:p>
      <w:pPr>
        <w:ind w:left="560" w:right="80"/>
        <w:spacing w:after="0" w:line="271"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Unobservable inputs that are significant to the measurement of the fair value of the assets or liabilities that are supported</w:t>
      </w:r>
      <w:r>
        <w:rPr>
          <w:rFonts w:ascii="Arial" w:cs="Arial" w:eastAsia="Arial" w:hAnsi="Arial"/>
          <w:sz w:val="18"/>
          <w:szCs w:val="18"/>
          <w:i w:val="1"/>
          <w:iCs w:val="1"/>
          <w:color w:val="auto"/>
        </w:rPr>
        <w:t xml:space="preserve"> </w:t>
      </w:r>
      <w:r>
        <w:rPr>
          <w:rFonts w:ascii="Arial" w:cs="Arial" w:eastAsia="Arial" w:hAnsi="Arial"/>
          <w:sz w:val="18"/>
          <w:szCs w:val="18"/>
          <w:color w:val="auto"/>
        </w:rPr>
        <w:t>by little or no market data.</w:t>
      </w:r>
    </w:p>
    <w:p>
      <w:pPr>
        <w:spacing w:after="0" w:line="86" w:lineRule="exact"/>
        <w:rPr>
          <w:sz w:val="20"/>
          <w:szCs w:val="20"/>
          <w:color w:val="auto"/>
        </w:rPr>
      </w:pPr>
    </w:p>
    <w:p>
      <w:pPr>
        <w:ind w:left="120" w:right="20"/>
        <w:spacing w:after="0" w:line="261" w:lineRule="auto"/>
        <w:rPr>
          <w:sz w:val="20"/>
          <w:szCs w:val="20"/>
          <w:color w:val="auto"/>
        </w:rPr>
      </w:pPr>
      <w:r>
        <w:rPr>
          <w:rFonts w:ascii="Arial" w:cs="Arial" w:eastAsia="Arial" w:hAnsi="Arial"/>
          <w:sz w:val="17"/>
          <w:szCs w:val="17"/>
          <w:color w:val="auto"/>
        </w:rPr>
        <w:t>Assets and liabilities measured at fair value are classified in their entirety based on the lowest level of input that is significant to the fair value measurement. An assessment of the significance of a particular input to the fair value measurement in its entirety requires management to make judgments and consider factors specific to the asset or liability. Changes in the ability to observe valuation inputs may result in a reclassification of levels of certain securities within the fair value hierarchy. The Company recognizes transfers into and out of levels within the fair value hierarchy in the period in which the actual event or change in circumstances that caused the transfer occurs.</w:t>
      </w:r>
    </w:p>
    <w:p>
      <w:pPr>
        <w:spacing w:after="0" w:line="98" w:lineRule="exact"/>
        <w:rPr>
          <w:sz w:val="20"/>
          <w:szCs w:val="20"/>
          <w:color w:val="auto"/>
        </w:rPr>
      </w:pPr>
    </w:p>
    <w:p>
      <w:pPr>
        <w:ind w:left="120" w:right="40"/>
        <w:spacing w:after="0" w:line="257" w:lineRule="auto"/>
        <w:rPr>
          <w:sz w:val="20"/>
          <w:szCs w:val="20"/>
          <w:color w:val="auto"/>
        </w:rPr>
      </w:pPr>
      <w:r>
        <w:rPr>
          <w:rFonts w:ascii="Arial" w:cs="Arial" w:eastAsia="Arial" w:hAnsi="Arial"/>
          <w:sz w:val="17"/>
          <w:szCs w:val="17"/>
          <w:color w:val="auto"/>
        </w:rPr>
        <w:t>The Company’s financial instruments measured at fair value on a recurring basis consist of Level 1, Level 2, and Level 3 financial instruments. Usually, marketable securities are considered Level 2 when their fair values are determined using inputs that are observable in the market or can be derived principally from or corroborated by observable market data such as pricing for similar securities, recently executed transactions, cash flow models with yield curves, and benchmark securities. In addition, Level 2 financial instruments are valued using comparisons to like-kind financial instruments and models that use readily observable market data as their basis. U.S. Government bonds, corporate debt obligations, commercial paper, government agency obligations and asset-backed securities are valued primarily using market prices of comparable securities, bid/ask quotes, interest rate yields and prepayment spreads and are included in Level 2.</w:t>
      </w:r>
    </w:p>
    <w:p>
      <w:pPr>
        <w:spacing w:after="0" w:line="87"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Financial assets and liabilities are considered Level 3 when their fair values are determined using pricing models, discounted cash flow methodologies, or similar techniques, and at least one significant model assumption or input is unobservable. The Company’s investments in a convertible promissory note, preferred stock shares and restricted common stock of Affini-T Therapeutics Inc. (“Affini-T”) (see Note 5) are Level 3 financial assets.</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5" w:right="47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The following table summarizes the estimated fair value of the financial instruments that were measured at fair value on a recurring basis by level within the fair value hierarchy as of December 31,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4"/>
          </w:tcPr>
          <w:p>
            <w:pPr>
              <w:ind w:left="40"/>
              <w:spacing w:after="0"/>
              <w:rPr>
                <w:sz w:val="20"/>
                <w:szCs w:val="20"/>
                <w:color w:val="auto"/>
              </w:rPr>
            </w:pPr>
            <w:r>
              <w:rPr>
                <w:rFonts w:ascii="Arial" w:cs="Arial" w:eastAsia="Arial" w:hAnsi="Arial"/>
                <w:sz w:val="16"/>
                <w:szCs w:val="16"/>
                <w:b w:val="1"/>
                <w:bCs w:val="1"/>
                <w:color w:val="auto"/>
              </w:rPr>
              <w:t>December 31, 2021</w:t>
            </w:r>
          </w:p>
        </w:tc>
      </w:tr>
      <w:tr>
        <w:trPr>
          <w:trHeight w:val="183"/>
        </w:trPr>
        <w:tc>
          <w:tcPr>
            <w:tcW w:w="60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91"/>
              <w:spacing w:after="0" w:line="183" w:lineRule="exact"/>
              <w:rPr>
                <w:sz w:val="20"/>
                <w:szCs w:val="20"/>
                <w:color w:val="auto"/>
              </w:rPr>
            </w:pPr>
            <w:r>
              <w:rPr>
                <w:rFonts w:ascii="Arial" w:cs="Arial" w:eastAsia="Arial" w:hAnsi="Arial"/>
                <w:sz w:val="16"/>
                <w:szCs w:val="16"/>
                <w:b w:val="1"/>
                <w:bCs w:val="1"/>
                <w:color w:val="auto"/>
              </w:rPr>
              <w:t>Total</w:t>
            </w:r>
          </w:p>
        </w:tc>
        <w:tc>
          <w:tcPr>
            <w:tcW w:w="1040" w:type="dxa"/>
            <w:vAlign w:val="bottom"/>
            <w:tcBorders>
              <w:top w:val="single" w:sz="8" w:color="auto"/>
              <w:bottom w:val="single" w:sz="8" w:color="auto"/>
            </w:tcBorders>
          </w:tcPr>
          <w:p>
            <w:pPr>
              <w:jc w:val="right"/>
              <w:ind w:right="91"/>
              <w:spacing w:after="0" w:line="183" w:lineRule="exact"/>
              <w:rPr>
                <w:sz w:val="20"/>
                <w:szCs w:val="20"/>
                <w:color w:val="auto"/>
              </w:rPr>
            </w:pPr>
            <w:r>
              <w:rPr>
                <w:rFonts w:ascii="Arial" w:cs="Arial" w:eastAsia="Arial" w:hAnsi="Arial"/>
                <w:sz w:val="16"/>
                <w:szCs w:val="16"/>
                <w:b w:val="1"/>
                <w:bCs w:val="1"/>
                <w:color w:val="auto"/>
              </w:rPr>
              <w:t>Level 1</w:t>
            </w:r>
          </w:p>
        </w:tc>
        <w:tc>
          <w:tcPr>
            <w:tcW w:w="3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92"/>
              <w:spacing w:after="0" w:line="183" w:lineRule="exact"/>
              <w:rPr>
                <w:sz w:val="20"/>
                <w:szCs w:val="20"/>
                <w:color w:val="auto"/>
              </w:rPr>
            </w:pPr>
            <w:r>
              <w:rPr>
                <w:rFonts w:ascii="Arial" w:cs="Arial" w:eastAsia="Arial" w:hAnsi="Arial"/>
                <w:sz w:val="16"/>
                <w:szCs w:val="16"/>
                <w:b w:val="1"/>
                <w:bCs w:val="1"/>
                <w:color w:val="auto"/>
                <w:w w:val="99"/>
              </w:rPr>
              <w:t>Level 2</w:t>
            </w:r>
          </w:p>
        </w:tc>
        <w:tc>
          <w:tcPr>
            <w:tcW w:w="760" w:type="dxa"/>
            <w:vAlign w:val="bottom"/>
            <w:tcBorders>
              <w:top w:val="single" w:sz="8" w:color="auto"/>
              <w:bottom w:val="single" w:sz="8" w:color="auto"/>
            </w:tcBorders>
            <w:gridSpan w:val="2"/>
          </w:tcPr>
          <w:p>
            <w:pPr>
              <w:ind w:left="200"/>
              <w:spacing w:after="0" w:line="183" w:lineRule="exact"/>
              <w:rPr>
                <w:sz w:val="20"/>
                <w:szCs w:val="20"/>
                <w:color w:val="auto"/>
              </w:rPr>
            </w:pPr>
            <w:r>
              <w:rPr>
                <w:rFonts w:ascii="Arial" w:cs="Arial" w:eastAsia="Arial" w:hAnsi="Arial"/>
                <w:sz w:val="16"/>
                <w:szCs w:val="16"/>
                <w:b w:val="1"/>
                <w:bCs w:val="1"/>
                <w:color w:val="auto"/>
                <w:w w:val="99"/>
              </w:rPr>
              <w:t>Level 3</w:t>
            </w:r>
          </w:p>
        </w:tc>
        <w:tc>
          <w:tcPr>
            <w:tcW w:w="60" w:type="dxa"/>
            <w:vAlign w:val="bottom"/>
            <w:tcBorders>
              <w:bottom w:val="single" w:sz="8" w:color="auto"/>
            </w:tcBorders>
          </w:tcPr>
          <w:p>
            <w:pPr>
              <w:spacing w:after="0"/>
              <w:rPr>
                <w:sz w:val="15"/>
                <w:szCs w:val="15"/>
                <w:color w:val="auto"/>
              </w:rPr>
            </w:pPr>
          </w:p>
        </w:tc>
      </w:tr>
      <w:tr>
        <w:trPr>
          <w:trHeight w:val="48"/>
        </w:trPr>
        <w:tc>
          <w:tcPr>
            <w:tcW w:w="6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080" w:type="dxa"/>
            <w:vAlign w:val="bottom"/>
          </w:tcPr>
          <w:p>
            <w:pPr>
              <w:ind w:left="180"/>
              <w:spacing w:after="0" w:line="202" w:lineRule="exact"/>
              <w:rPr>
                <w:sz w:val="20"/>
                <w:szCs w:val="20"/>
                <w:color w:val="auto"/>
              </w:rPr>
            </w:pPr>
            <w:r>
              <w:rPr>
                <w:rFonts w:ascii="Arial" w:cs="Arial" w:eastAsia="Arial" w:hAnsi="Arial"/>
                <w:sz w:val="18"/>
                <w:szCs w:val="18"/>
                <w:color w:val="auto"/>
              </w:rPr>
              <w:t>Money market funds (included in cash and cash equivalents)</w:t>
            </w: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34,940</w:t>
            </w:r>
          </w:p>
        </w:tc>
        <w:tc>
          <w:tcPr>
            <w:tcW w:w="10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$34,940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200"/>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0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U.S. Treasury bills</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2,989</w:t>
            </w:r>
          </w:p>
        </w:tc>
        <w:tc>
          <w:tcPr>
            <w:tcW w:w="10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2,989</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080" w:type="dxa"/>
            <w:vAlign w:val="bottom"/>
          </w:tcPr>
          <w:p>
            <w:pPr>
              <w:ind w:left="180"/>
              <w:spacing w:after="0" w:line="202" w:lineRule="exact"/>
              <w:rPr>
                <w:sz w:val="20"/>
                <w:szCs w:val="20"/>
                <w:color w:val="auto"/>
              </w:rPr>
            </w:pPr>
            <w:r>
              <w:rPr>
                <w:rFonts w:ascii="Arial" w:cs="Arial" w:eastAsia="Arial" w:hAnsi="Arial"/>
                <w:sz w:val="18"/>
                <w:szCs w:val="18"/>
                <w:color w:val="auto"/>
              </w:rPr>
              <w:t>Government agency obligations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3,028</w:t>
            </w:r>
          </w:p>
        </w:tc>
        <w:tc>
          <w:tcPr>
            <w:tcW w:w="10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3,028</w:t>
            </w:r>
          </w:p>
        </w:tc>
        <w:tc>
          <w:tcPr>
            <w:tcW w:w="3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0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Corporate debt obligations</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20,070</w:t>
            </w:r>
          </w:p>
        </w:tc>
        <w:tc>
          <w:tcPr>
            <w:tcW w:w="10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8"/>
              </w:rPr>
              <w:t>20,070</w:t>
            </w:r>
          </w:p>
        </w:tc>
        <w:tc>
          <w:tcPr>
            <w:tcW w:w="3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080" w:type="dxa"/>
            <w:vAlign w:val="bottom"/>
          </w:tcPr>
          <w:p>
            <w:pPr>
              <w:ind w:left="180"/>
              <w:spacing w:after="0" w:line="202" w:lineRule="exact"/>
              <w:rPr>
                <w:sz w:val="20"/>
                <w:szCs w:val="20"/>
                <w:color w:val="auto"/>
              </w:rPr>
            </w:pPr>
            <w:r>
              <w:rPr>
                <w:rFonts w:ascii="Arial" w:cs="Arial" w:eastAsia="Arial" w:hAnsi="Arial"/>
                <w:sz w:val="18"/>
                <w:szCs w:val="18"/>
                <w:color w:val="auto"/>
              </w:rPr>
              <w:t>Commercial paper</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29,719</w:t>
            </w:r>
          </w:p>
        </w:tc>
        <w:tc>
          <w:tcPr>
            <w:tcW w:w="10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92"/>
              <w:spacing w:after="0" w:line="202" w:lineRule="exact"/>
              <w:rPr>
                <w:sz w:val="20"/>
                <w:szCs w:val="20"/>
                <w:color w:val="auto"/>
              </w:rPr>
            </w:pPr>
            <w:r>
              <w:rPr>
                <w:rFonts w:ascii="Arial" w:cs="Arial" w:eastAsia="Arial" w:hAnsi="Arial"/>
                <w:sz w:val="18"/>
                <w:szCs w:val="18"/>
                <w:color w:val="auto"/>
                <w:w w:val="98"/>
              </w:rPr>
              <w:t>29,719</w:t>
            </w:r>
          </w:p>
        </w:tc>
        <w:tc>
          <w:tcPr>
            <w:tcW w:w="3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0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Asset-backed securities</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13,052</w:t>
            </w:r>
          </w:p>
        </w:tc>
        <w:tc>
          <w:tcPr>
            <w:tcW w:w="10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8"/>
              </w:rPr>
              <w:t>13,052</w:t>
            </w:r>
          </w:p>
        </w:tc>
        <w:tc>
          <w:tcPr>
            <w:tcW w:w="3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9"/>
        </w:trPr>
        <w:tc>
          <w:tcPr>
            <w:tcW w:w="6080" w:type="dxa"/>
            <w:vAlign w:val="bottom"/>
          </w:tcPr>
          <w:p>
            <w:pPr>
              <w:ind w:left="180"/>
              <w:spacing w:after="0" w:line="202" w:lineRule="exact"/>
              <w:rPr>
                <w:sz w:val="20"/>
                <w:szCs w:val="20"/>
                <w:color w:val="auto"/>
              </w:rPr>
            </w:pPr>
            <w:r>
              <w:rPr>
                <w:rFonts w:ascii="Arial" w:cs="Arial" w:eastAsia="Arial" w:hAnsi="Arial"/>
                <w:sz w:val="18"/>
                <w:szCs w:val="18"/>
                <w:color w:val="auto"/>
              </w:rPr>
              <w:t>Long-term investments (Note 5)</w:t>
            </w:r>
          </w:p>
        </w:tc>
        <w:tc>
          <w:tcPr>
            <w:tcW w:w="1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4,262</w:t>
            </w:r>
          </w:p>
        </w:tc>
        <w:tc>
          <w:tcPr>
            <w:tcW w:w="10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4,262</w:t>
            </w:r>
          </w:p>
        </w:tc>
        <w:tc>
          <w:tcPr>
            <w:tcW w:w="60" w:type="dxa"/>
            <w:vAlign w:val="bottom"/>
          </w:tcPr>
          <w:p>
            <w:pPr>
              <w:spacing w:after="0"/>
              <w:rPr>
                <w:sz w:val="18"/>
                <w:szCs w:val="18"/>
                <w:color w:val="auto"/>
              </w:rPr>
            </w:pPr>
          </w:p>
        </w:tc>
      </w:tr>
      <w:tr>
        <w:trPr>
          <w:trHeight w:val="203"/>
        </w:trPr>
        <w:tc>
          <w:tcPr>
            <w:tcW w:w="6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fair value of assets</w:t>
            </w:r>
          </w:p>
        </w:tc>
        <w:tc>
          <w:tcPr>
            <w:tcW w:w="1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w w:val="98"/>
              </w:rPr>
              <w:t>108,060</w:t>
            </w:r>
          </w:p>
        </w:tc>
        <w:tc>
          <w:tcPr>
            <w:tcW w:w="10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$37,929</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8"/>
              </w:rPr>
              <w:t>65,869</w:t>
            </w:r>
          </w:p>
        </w:tc>
        <w:tc>
          <w:tcPr>
            <w:tcW w:w="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7"/>
              </w:rPr>
              <w:t>4,262</w:t>
            </w:r>
          </w:p>
        </w:tc>
      </w:tr>
      <w:tr>
        <w:trPr>
          <w:trHeight w:val="20"/>
        </w:trPr>
        <w:tc>
          <w:tcPr>
            <w:tcW w:w="6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-7620</wp:posOffset>
            </wp:positionV>
            <wp:extent cx="342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1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In addition, restricted cash of $4.1 million as of December 31, 2021, collateralized by the Company’s cash equivalents, are financial assets measured at fair value and is a Level 1 financial instruments under the fair value hierarchy.</w:t>
      </w:r>
    </w:p>
    <w:p>
      <w:pPr>
        <w:spacing w:after="0" w:line="86"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The following table summarizes the estimated fair value of the financial instruments that were measured at fair value on a recurring basis by level within the fair value hierarchy as of December 31, 2022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7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5"/>
          </w:tcPr>
          <w:p>
            <w:pPr>
              <w:jc w:val="right"/>
              <w:ind w:right="80"/>
              <w:spacing w:after="0"/>
              <w:rPr>
                <w:sz w:val="20"/>
                <w:szCs w:val="20"/>
                <w:color w:val="auto"/>
              </w:rPr>
            </w:pPr>
            <w:r>
              <w:rPr>
                <w:rFonts w:ascii="Arial" w:cs="Arial" w:eastAsia="Arial" w:hAnsi="Arial"/>
                <w:sz w:val="16"/>
                <w:szCs w:val="16"/>
                <w:b w:val="1"/>
                <w:bCs w:val="1"/>
                <w:color w:val="auto"/>
              </w:rPr>
              <w:t>December 31, 2022</w:t>
            </w:r>
          </w:p>
        </w:tc>
      </w:tr>
      <w:tr>
        <w:trPr>
          <w:trHeight w:val="183"/>
        </w:trPr>
        <w:tc>
          <w:tcPr>
            <w:tcW w:w="7160" w:type="dxa"/>
            <w:vAlign w:val="bottom"/>
            <w:tcBorders>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
              <w:spacing w:after="0" w:line="183" w:lineRule="exact"/>
              <w:rPr>
                <w:sz w:val="20"/>
                <w:szCs w:val="20"/>
                <w:color w:val="auto"/>
              </w:rPr>
            </w:pPr>
            <w:r>
              <w:rPr>
                <w:rFonts w:ascii="Arial" w:cs="Arial" w:eastAsia="Arial" w:hAnsi="Arial"/>
                <w:sz w:val="16"/>
                <w:szCs w:val="16"/>
                <w:b w:val="1"/>
                <w:bCs w:val="1"/>
                <w:color w:val="auto"/>
              </w:rPr>
              <w:t>Total</w:t>
            </w:r>
          </w:p>
        </w:tc>
        <w:tc>
          <w:tcPr>
            <w:tcW w:w="1080" w:type="dxa"/>
            <w:vAlign w:val="bottom"/>
            <w:tcBorders>
              <w:top w:val="single" w:sz="8" w:color="auto"/>
              <w:bottom w:val="single" w:sz="8" w:color="auto"/>
            </w:tcBorders>
          </w:tcPr>
          <w:p>
            <w:pPr>
              <w:jc w:val="right"/>
              <w:ind w:right="51"/>
              <w:spacing w:after="0" w:line="183" w:lineRule="exact"/>
              <w:rPr>
                <w:sz w:val="20"/>
                <w:szCs w:val="20"/>
                <w:color w:val="auto"/>
              </w:rPr>
            </w:pPr>
            <w:r>
              <w:rPr>
                <w:rFonts w:ascii="Arial" w:cs="Arial" w:eastAsia="Arial" w:hAnsi="Arial"/>
                <w:sz w:val="16"/>
                <w:szCs w:val="16"/>
                <w:b w:val="1"/>
                <w:bCs w:val="1"/>
                <w:color w:val="auto"/>
              </w:rPr>
              <w:t>Level 1</w:t>
            </w:r>
          </w:p>
        </w:tc>
        <w:tc>
          <w:tcPr>
            <w:tcW w:w="2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52"/>
              <w:spacing w:after="0" w:line="183" w:lineRule="exact"/>
              <w:rPr>
                <w:sz w:val="20"/>
                <w:szCs w:val="20"/>
                <w:color w:val="auto"/>
              </w:rPr>
            </w:pPr>
            <w:r>
              <w:rPr>
                <w:rFonts w:ascii="Arial" w:cs="Arial" w:eastAsia="Arial" w:hAnsi="Arial"/>
                <w:sz w:val="16"/>
                <w:szCs w:val="16"/>
                <w:b w:val="1"/>
                <w:bCs w:val="1"/>
                <w:color w:val="auto"/>
              </w:rPr>
              <w:t>Level 2</w:t>
            </w:r>
          </w:p>
        </w:tc>
        <w:tc>
          <w:tcPr>
            <w:tcW w:w="74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Level 3</w:t>
            </w:r>
          </w:p>
        </w:tc>
        <w:tc>
          <w:tcPr>
            <w:tcW w:w="80" w:type="dxa"/>
            <w:vAlign w:val="bottom"/>
            <w:tcBorders>
              <w:bottom w:val="single" w:sz="8" w:color="auto"/>
            </w:tcBorders>
            <w:gridSpan w:val="2"/>
          </w:tcPr>
          <w:p>
            <w:pPr>
              <w:spacing w:after="0"/>
              <w:rPr>
                <w:sz w:val="15"/>
                <w:szCs w:val="15"/>
                <w:color w:val="auto"/>
              </w:rPr>
            </w:pPr>
          </w:p>
        </w:tc>
      </w:tr>
      <w:tr>
        <w:trPr>
          <w:trHeight w:val="48"/>
        </w:trPr>
        <w:tc>
          <w:tcPr>
            <w:tcW w:w="7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160" w:type="dxa"/>
            <w:vAlign w:val="bottom"/>
          </w:tcPr>
          <w:p>
            <w:pPr>
              <w:ind w:left="180"/>
              <w:spacing w:after="0" w:line="202" w:lineRule="exact"/>
              <w:rPr>
                <w:sz w:val="20"/>
                <w:szCs w:val="20"/>
                <w:color w:val="auto"/>
              </w:rPr>
            </w:pPr>
            <w:r>
              <w:rPr>
                <w:rFonts w:ascii="Arial" w:cs="Arial" w:eastAsia="Arial" w:hAnsi="Arial"/>
                <w:sz w:val="18"/>
                <w:szCs w:val="18"/>
                <w:color w:val="auto"/>
              </w:rPr>
              <w:t>Money market funds (included in cash and cash equivalents)</w:t>
            </w: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w w:val="94"/>
              </w:rPr>
              <w:t>$ 182,441</w:t>
            </w:r>
          </w:p>
        </w:tc>
        <w:tc>
          <w:tcPr>
            <w:tcW w:w="10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$ 182,441</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7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U.S. Treasury bills</w:t>
            </w:r>
          </w:p>
        </w:tc>
        <w:tc>
          <w:tcPr>
            <w:tcW w:w="90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14,821</w:t>
            </w:r>
          </w:p>
        </w:tc>
        <w:tc>
          <w:tcPr>
            <w:tcW w:w="10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14,821</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2"/>
        </w:trPr>
        <w:tc>
          <w:tcPr>
            <w:tcW w:w="7160" w:type="dxa"/>
            <w:vAlign w:val="bottom"/>
          </w:tcPr>
          <w:p>
            <w:pPr>
              <w:ind w:left="180"/>
              <w:spacing w:after="0" w:line="202" w:lineRule="exact"/>
              <w:rPr>
                <w:sz w:val="20"/>
                <w:szCs w:val="20"/>
                <w:color w:val="auto"/>
              </w:rPr>
            </w:pPr>
            <w:r>
              <w:rPr>
                <w:rFonts w:ascii="Arial" w:cs="Arial" w:eastAsia="Arial" w:hAnsi="Arial"/>
                <w:sz w:val="18"/>
                <w:szCs w:val="18"/>
                <w:color w:val="auto"/>
              </w:rPr>
              <w:t>U.S. Government bonds</w:t>
            </w: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14,651</w:t>
            </w:r>
          </w:p>
        </w:tc>
        <w:tc>
          <w:tcPr>
            <w:tcW w:w="10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14,651</w:t>
            </w:r>
          </w:p>
        </w:tc>
        <w:tc>
          <w:tcPr>
            <w:tcW w:w="260" w:type="dxa"/>
            <w:vAlign w:val="bottom"/>
          </w:tcPr>
          <w:p>
            <w:pPr>
              <w:spacing w:after="0"/>
              <w:rPr>
                <w:sz w:val="17"/>
                <w:szCs w:val="17"/>
                <w:color w:val="auto"/>
              </w:rPr>
            </w:pPr>
          </w:p>
        </w:tc>
        <w:tc>
          <w:tcPr>
            <w:tcW w:w="5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7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Government agency obligations</w:t>
            </w:r>
          </w:p>
        </w:tc>
        <w:tc>
          <w:tcPr>
            <w:tcW w:w="90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22,468</w:t>
            </w:r>
          </w:p>
        </w:tc>
        <w:tc>
          <w:tcPr>
            <w:tcW w:w="10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22,468</w:t>
            </w:r>
          </w:p>
        </w:tc>
        <w:tc>
          <w:tcPr>
            <w:tcW w:w="2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7160" w:type="dxa"/>
            <w:vAlign w:val="bottom"/>
          </w:tcPr>
          <w:p>
            <w:pPr>
              <w:ind w:left="180"/>
              <w:spacing w:after="0" w:line="202" w:lineRule="exact"/>
              <w:rPr>
                <w:sz w:val="20"/>
                <w:szCs w:val="20"/>
                <w:color w:val="auto"/>
              </w:rPr>
            </w:pPr>
            <w:r>
              <w:rPr>
                <w:rFonts w:ascii="Arial" w:cs="Arial" w:eastAsia="Arial" w:hAnsi="Arial"/>
                <w:sz w:val="18"/>
                <w:szCs w:val="18"/>
                <w:color w:val="auto"/>
              </w:rPr>
              <w:t>Corporate debt obligations</w:t>
            </w: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25,900</w:t>
            </w:r>
          </w:p>
        </w:tc>
        <w:tc>
          <w:tcPr>
            <w:tcW w:w="10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25,900</w:t>
            </w:r>
          </w:p>
        </w:tc>
        <w:tc>
          <w:tcPr>
            <w:tcW w:w="260" w:type="dxa"/>
            <w:vAlign w:val="bottom"/>
          </w:tcPr>
          <w:p>
            <w:pPr>
              <w:spacing w:after="0"/>
              <w:rPr>
                <w:sz w:val="17"/>
                <w:szCs w:val="17"/>
                <w:color w:val="auto"/>
              </w:rPr>
            </w:pPr>
          </w:p>
        </w:tc>
        <w:tc>
          <w:tcPr>
            <w:tcW w:w="5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7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Commercial paper</w:t>
            </w:r>
          </w:p>
        </w:tc>
        <w:tc>
          <w:tcPr>
            <w:tcW w:w="90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88,447</w:t>
            </w:r>
          </w:p>
        </w:tc>
        <w:tc>
          <w:tcPr>
            <w:tcW w:w="10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88,447</w:t>
            </w:r>
          </w:p>
        </w:tc>
        <w:tc>
          <w:tcPr>
            <w:tcW w:w="2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7160" w:type="dxa"/>
            <w:vAlign w:val="bottom"/>
          </w:tcPr>
          <w:p>
            <w:pPr>
              <w:ind w:left="180"/>
              <w:spacing w:after="0" w:line="202" w:lineRule="exact"/>
              <w:rPr>
                <w:sz w:val="20"/>
                <w:szCs w:val="20"/>
                <w:color w:val="auto"/>
              </w:rPr>
            </w:pPr>
            <w:r>
              <w:rPr>
                <w:rFonts w:ascii="Arial" w:cs="Arial" w:eastAsia="Arial" w:hAnsi="Arial"/>
                <w:sz w:val="18"/>
                <w:szCs w:val="18"/>
                <w:color w:val="auto"/>
              </w:rPr>
              <w:t>Asset-backed securities</w:t>
            </w: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11,403</w:t>
            </w:r>
          </w:p>
        </w:tc>
        <w:tc>
          <w:tcPr>
            <w:tcW w:w="10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11,403</w:t>
            </w:r>
          </w:p>
        </w:tc>
        <w:tc>
          <w:tcPr>
            <w:tcW w:w="260" w:type="dxa"/>
            <w:vAlign w:val="bottom"/>
          </w:tcPr>
          <w:p>
            <w:pPr>
              <w:spacing w:after="0"/>
              <w:rPr>
                <w:sz w:val="17"/>
                <w:szCs w:val="17"/>
                <w:color w:val="auto"/>
              </w:rPr>
            </w:pPr>
          </w:p>
        </w:tc>
        <w:tc>
          <w:tcPr>
            <w:tcW w:w="5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7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Long-term investments (Note 5)</w:t>
            </w:r>
          </w:p>
        </w:tc>
        <w:tc>
          <w:tcPr>
            <w:tcW w:w="90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5,651</w:t>
            </w:r>
          </w:p>
        </w:tc>
        <w:tc>
          <w:tcPr>
            <w:tcW w:w="10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5,651</w:t>
            </w:r>
          </w:p>
        </w:tc>
        <w:tc>
          <w:tcPr>
            <w:tcW w:w="60" w:type="dxa"/>
            <w:vAlign w:val="bottom"/>
            <w:shd w:val="clear" w:color="auto" w:fill="CCEEFF"/>
          </w:tcPr>
          <w:p>
            <w:pPr>
              <w:spacing w:after="0"/>
              <w:rPr>
                <w:sz w:val="17"/>
                <w:szCs w:val="17"/>
                <w:color w:val="auto"/>
              </w:rPr>
            </w:pPr>
          </w:p>
        </w:tc>
      </w:tr>
      <w:tr>
        <w:trPr>
          <w:trHeight w:val="210"/>
        </w:trPr>
        <w:tc>
          <w:tcPr>
            <w:tcW w:w="7160" w:type="dxa"/>
            <w:vAlign w:val="bottom"/>
          </w:tcPr>
          <w:p>
            <w:pPr>
              <w:ind w:left="360"/>
              <w:spacing w:after="0"/>
              <w:rPr>
                <w:sz w:val="20"/>
                <w:szCs w:val="20"/>
                <w:color w:val="auto"/>
              </w:rPr>
            </w:pPr>
            <w:r>
              <w:rPr>
                <w:rFonts w:ascii="Arial" w:cs="Arial" w:eastAsia="Arial" w:hAnsi="Arial"/>
                <w:sz w:val="18"/>
                <w:szCs w:val="18"/>
                <w:color w:val="auto"/>
              </w:rPr>
              <w:t>Total fair value of assets</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4"/>
              </w:rPr>
              <w:t>$ 365,782</w:t>
            </w:r>
          </w:p>
        </w:tc>
        <w:tc>
          <w:tcPr>
            <w:tcW w:w="10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$ 197,262</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8"/>
              </w:rPr>
              <w:t>162,869</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5,651</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7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In addition, restricted cash of $6.1 million as of December 31, 2022, collateralized by the Company’s cash equivalents, are financial assets measured at fair value and is a Level 1 financial instruments under the fair value hierarchy.</w:t>
      </w:r>
    </w:p>
    <w:p>
      <w:pPr>
        <w:spacing w:after="0" w:line="86"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In December 2020, the Company entered into a convertible promissory note agreement and a side letter with Affini-T (see Note 5), and recorded an aggregate $1.5 million investment in Affini-T within long-term investments on the consolidated balance sheet related to (i) the Affini-T Convertible Promissory Note and (ii) shares of Affini-T’s common stock. The Company concluded it exercised significant influence over Affini-T, and the Company elected the fair value method to account for the investment in Affini-T. The fair value of common stock shares was estimated by the Company’s management, considering the most recent third-party valuation, which was based on an option-pricing model and Affini-T’s most recent round of financing.</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5" w:right="4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the year ended December 31, 2021, the Company recognized an aggregate $2.8 million change in fair value of its investment in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Affini-T within the change in fair value of long-term investments in the consolidated statement of operations and comprehensive loss</w:t>
      </w:r>
    </w:p>
    <w:p>
      <w:pPr>
        <w:ind w:left="120"/>
        <w:spacing w:after="0" w:line="234" w:lineRule="auto"/>
        <w:rPr>
          <w:sz w:val="20"/>
          <w:szCs w:val="20"/>
          <w:color w:val="auto"/>
        </w:rPr>
      </w:pPr>
      <w:r>
        <w:rPr>
          <w:rFonts w:ascii="Arial" w:cs="Arial" w:eastAsia="Arial" w:hAnsi="Arial"/>
          <w:sz w:val="18"/>
          <w:szCs w:val="18"/>
          <w:color w:val="auto"/>
        </w:rPr>
        <w:t>consisting of a $2.5 million change in fair value of the Affini-T Convertible Promissory Note and a $0.3 million change in fair value of the</w:t>
      </w:r>
    </w:p>
    <w:p>
      <w:pPr>
        <w:ind w:left="120"/>
        <w:spacing w:after="0" w:line="235" w:lineRule="auto"/>
        <w:rPr>
          <w:sz w:val="20"/>
          <w:szCs w:val="20"/>
          <w:color w:val="auto"/>
        </w:rPr>
      </w:pPr>
      <w:r>
        <w:rPr>
          <w:rFonts w:ascii="Arial" w:cs="Arial" w:eastAsia="Arial" w:hAnsi="Arial"/>
          <w:sz w:val="18"/>
          <w:szCs w:val="18"/>
          <w:color w:val="auto"/>
        </w:rPr>
        <w:t>shares of Affini-T common stock. As of December 31, 2021, the aggregate fair value of the Company’s investment in Affini-T was</w:t>
      </w:r>
    </w:p>
    <w:p>
      <w:pPr>
        <w:ind w:left="120"/>
        <w:spacing w:after="0" w:line="235" w:lineRule="auto"/>
        <w:rPr>
          <w:sz w:val="20"/>
          <w:szCs w:val="20"/>
          <w:color w:val="auto"/>
        </w:rPr>
      </w:pPr>
      <w:r>
        <w:rPr>
          <w:rFonts w:ascii="Arial" w:cs="Arial" w:eastAsia="Arial" w:hAnsi="Arial"/>
          <w:sz w:val="18"/>
          <w:szCs w:val="18"/>
          <w:color w:val="auto"/>
        </w:rPr>
        <w:t>$4.3 million, of which $4.0 million related to the Affini-T Convertible Promissory Note and $0.3 million related to the shares of Affini-T</w:t>
      </w:r>
    </w:p>
    <w:p>
      <w:pPr>
        <w:ind w:left="120"/>
        <w:spacing w:after="0"/>
        <w:rPr>
          <w:sz w:val="20"/>
          <w:szCs w:val="20"/>
          <w:color w:val="auto"/>
        </w:rPr>
      </w:pPr>
      <w:r>
        <w:rPr>
          <w:rFonts w:ascii="Arial" w:cs="Arial" w:eastAsia="Arial" w:hAnsi="Arial"/>
          <w:sz w:val="18"/>
          <w:szCs w:val="18"/>
          <w:color w:val="auto"/>
        </w:rPr>
        <w:t>common stock.</w:t>
      </w:r>
    </w:p>
    <w:p>
      <w:pPr>
        <w:spacing w:after="0" w:line="126"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In March 2022, the Company’s investment in the Affini-T Convertible Promissory Note was converted into shares of convertible preferred stock, resulting in no convertible note outstanding as of December 31, 2022 (see Note 5). The fair value of the convertible preferred stock shares was based on cash paid per share by third party investors. During the year ended December 31, 2022, the Company recognized a change in fair value of the Affini-T Convertible Promissory Note of $0.1 million within the change in fair value of long-term investments in the consolidated statement of operations and comprehensive loss. There was no change in the fair value of the shares of Affini-T common stock during the year ended December 31, 2022.</w:t>
      </w:r>
    </w:p>
    <w:p>
      <w:pPr>
        <w:spacing w:after="0" w:line="111"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As of December 31, 2021, the fair value of the Affini-T Convertible Promissory Note was estimated using the fair value of preferred stock using Affini-T’s recent valuation and future payments discounted at a rate of 6%. As of the date of the conversion, the fair value was estimated as $4.1 million, which was the fair value of the convertible preferred stock issued upon the conversion and as of December 31, 2022.</w:t>
      </w:r>
    </w:p>
    <w:p>
      <w:pPr>
        <w:spacing w:after="0" w:line="93"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There were no transfers between Level 1 and Level 2 categories in the years ended December 31, 2021 and 2022. As of December 31, 2021 and 2022, the Company’s investments in Affini-T were accounted as Level 3 investments and recorded at fair value.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4. Available-for-sale marketable securities</w:t>
      </w:r>
    </w:p>
    <w:p>
      <w:pPr>
        <w:spacing w:after="0" w:line="135"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The following table summarizes the amortized cost, unrealized gains (losses) and estimated fair value of the available-for-sale marketable securities as of December 31,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6"/>
                <w:szCs w:val="16"/>
                <w:b w:val="1"/>
                <w:bCs w:val="1"/>
                <w:color w:val="auto"/>
              </w:rPr>
              <w:t>Amortized</w:t>
            </w:r>
          </w:p>
        </w:tc>
        <w:tc>
          <w:tcPr>
            <w:tcW w:w="1320" w:type="dxa"/>
            <w:vAlign w:val="bottom"/>
            <w:gridSpan w:val="2"/>
          </w:tcPr>
          <w:p>
            <w:pPr>
              <w:jc w:val="right"/>
              <w:ind w:right="151"/>
              <w:spacing w:after="0"/>
              <w:rPr>
                <w:sz w:val="20"/>
                <w:szCs w:val="20"/>
                <w:color w:val="auto"/>
              </w:rPr>
            </w:pPr>
            <w:r>
              <w:rPr>
                <w:rFonts w:ascii="Arial" w:cs="Arial" w:eastAsia="Arial" w:hAnsi="Arial"/>
                <w:sz w:val="16"/>
                <w:szCs w:val="16"/>
                <w:b w:val="1"/>
                <w:bCs w:val="1"/>
                <w:color w:val="auto"/>
              </w:rPr>
              <w:t>Unrealized</w:t>
            </w: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Unrealized</w:t>
            </w:r>
          </w:p>
        </w:tc>
        <w:tc>
          <w:tcPr>
            <w:tcW w:w="1160" w:type="dxa"/>
            <w:vAlign w:val="bottom"/>
            <w:gridSpan w:val="3"/>
          </w:tcPr>
          <w:p>
            <w:pPr>
              <w:ind w:left="260"/>
              <w:spacing w:after="0"/>
              <w:rPr>
                <w:sz w:val="20"/>
                <w:szCs w:val="20"/>
                <w:color w:val="auto"/>
              </w:rPr>
            </w:pPr>
            <w:r>
              <w:rPr>
                <w:rFonts w:ascii="Arial" w:cs="Arial" w:eastAsia="Arial" w:hAnsi="Arial"/>
                <w:sz w:val="16"/>
                <w:szCs w:val="16"/>
                <w:b w:val="1"/>
                <w:bCs w:val="1"/>
                <w:color w:val="auto"/>
              </w:rPr>
              <w:t>Estimated</w:t>
            </w:r>
          </w:p>
        </w:tc>
      </w:tr>
      <w:tr>
        <w:trPr>
          <w:trHeight w:val="203"/>
        </w:trPr>
        <w:tc>
          <w:tcPr>
            <w:tcW w:w="44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cost</w:t>
            </w: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gains</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losses</w:t>
            </w:r>
          </w:p>
        </w:tc>
        <w:tc>
          <w:tcPr>
            <w:tcW w:w="116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1720" w:type="dxa"/>
            <w:vAlign w:val="bottom"/>
            <w:gridSpan w:val="2"/>
            <w:shd w:val="clear" w:color="auto" w:fill="CCEEFF"/>
          </w:tcPr>
          <w:p>
            <w:pPr>
              <w:ind w:left="160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211"/>
              <w:spacing w:after="0" w:line="196" w:lineRule="exact"/>
              <w:rPr>
                <w:sz w:val="20"/>
                <w:szCs w:val="20"/>
                <w:color w:val="auto"/>
              </w:rPr>
            </w:pPr>
            <w:r>
              <w:rPr>
                <w:rFonts w:ascii="Arial" w:cs="Arial" w:eastAsia="Arial" w:hAnsi="Arial"/>
                <w:sz w:val="18"/>
                <w:szCs w:val="18"/>
                <w:color w:val="auto"/>
              </w:rPr>
              <w:t>34,940</w:t>
            </w:r>
          </w:p>
        </w:tc>
        <w:tc>
          <w:tcPr>
            <w:tcW w:w="50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1"/>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11"/>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34,940</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U.S. Treasury obligations</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2,989</w:t>
            </w:r>
          </w:p>
        </w:tc>
        <w:tc>
          <w:tcPr>
            <w:tcW w:w="500" w:type="dxa"/>
            <w:vAlign w:val="bottom"/>
          </w:tcPr>
          <w:p>
            <w:pPr>
              <w:spacing w:after="0"/>
              <w:rPr>
                <w:sz w:val="17"/>
                <w:szCs w:val="17"/>
                <w:color w:val="auto"/>
              </w:rPr>
            </w:pPr>
          </w:p>
        </w:tc>
        <w:tc>
          <w:tcPr>
            <w:tcW w:w="82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2,989</w:t>
            </w: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Government agency obligations</w:t>
            </w: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3,031</w:t>
            </w: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3,028</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Corporate debt obligations</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20,083</w:t>
            </w:r>
          </w:p>
        </w:tc>
        <w:tc>
          <w:tcPr>
            <w:tcW w:w="500" w:type="dxa"/>
            <w:vAlign w:val="bottom"/>
          </w:tcPr>
          <w:p>
            <w:pPr>
              <w:spacing w:after="0"/>
              <w:rPr>
                <w:sz w:val="17"/>
                <w:szCs w:val="17"/>
                <w:color w:val="auto"/>
              </w:rPr>
            </w:pPr>
          </w:p>
        </w:tc>
        <w:tc>
          <w:tcPr>
            <w:tcW w:w="82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2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(13)</w:t>
            </w:r>
          </w:p>
        </w:tc>
        <w:tc>
          <w:tcPr>
            <w:tcW w:w="36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20,070</w:t>
            </w: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29,719</w:t>
            </w: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29,719</w:t>
            </w:r>
          </w:p>
        </w:tc>
      </w:tr>
      <w:tr>
        <w:trPr>
          <w:trHeight w:val="209"/>
        </w:trPr>
        <w:tc>
          <w:tcPr>
            <w:tcW w:w="4460" w:type="dxa"/>
            <w:vAlign w:val="bottom"/>
          </w:tcPr>
          <w:p>
            <w:pPr>
              <w:spacing w:after="0" w:line="202" w:lineRule="exact"/>
              <w:rPr>
                <w:sz w:val="20"/>
                <w:szCs w:val="20"/>
                <w:color w:val="auto"/>
              </w:rPr>
            </w:pPr>
            <w:r>
              <w:rPr>
                <w:rFonts w:ascii="Arial" w:cs="Arial" w:eastAsia="Arial" w:hAnsi="Arial"/>
                <w:sz w:val="18"/>
                <w:szCs w:val="18"/>
                <w:color w:val="auto"/>
              </w:rPr>
              <w:t>Asset-backed securities</w:t>
            </w:r>
          </w:p>
        </w:tc>
        <w:tc>
          <w:tcPr>
            <w:tcW w:w="1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color w:val="auto"/>
              </w:rPr>
              <w:t>13,057</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1"/>
              <w:spacing w:after="0" w:line="202" w:lineRule="exact"/>
              <w:rPr>
                <w:sz w:val="20"/>
                <w:szCs w:val="20"/>
                <w:color w:val="auto"/>
              </w:rPr>
            </w:pPr>
            <w:r>
              <w:rPr>
                <w:rFonts w:ascii="Arial" w:cs="Arial" w:eastAsia="Arial" w:hAnsi="Arial"/>
                <w:sz w:val="18"/>
                <w:szCs w:val="18"/>
                <w:color w:val="auto"/>
              </w:rPr>
              <w:t>(5)</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13,052</w:t>
            </w:r>
          </w:p>
        </w:tc>
        <w:tc>
          <w:tcPr>
            <w:tcW w:w="120" w:type="dxa"/>
            <w:vAlign w:val="bottom"/>
          </w:tcPr>
          <w:p>
            <w:pPr>
              <w:spacing w:after="0"/>
              <w:rPr>
                <w:sz w:val="18"/>
                <w:szCs w:val="18"/>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103,819</w:t>
            </w: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103,798</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Less: amounts classified as cash equivalents</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(34,940)</w:t>
            </w:r>
          </w:p>
        </w:tc>
        <w:tc>
          <w:tcPr>
            <w:tcW w:w="500" w:type="dxa"/>
            <w:vAlign w:val="bottom"/>
          </w:tcPr>
          <w:p>
            <w:pPr>
              <w:spacing w:after="0"/>
              <w:rPr>
                <w:sz w:val="17"/>
                <w:szCs w:val="17"/>
                <w:color w:val="auto"/>
              </w:rPr>
            </w:pPr>
          </w:p>
        </w:tc>
        <w:tc>
          <w:tcPr>
            <w:tcW w:w="82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(34,940)</w:t>
            </w:r>
          </w:p>
        </w:tc>
      </w:tr>
      <w:tr>
        <w:trPr>
          <w:trHeight w:val="27"/>
        </w:trPr>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available-for-sale marketable securities</w:t>
            </w:r>
          </w:p>
        </w:tc>
        <w:tc>
          <w:tcPr>
            <w:tcW w:w="1720" w:type="dxa"/>
            <w:vAlign w:val="bottom"/>
            <w:gridSpan w:val="2"/>
            <w:shd w:val="clear" w:color="auto" w:fill="CCEEFF"/>
          </w:tcPr>
          <w:p>
            <w:pPr>
              <w:ind w:left="160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68,879</w:t>
            </w:r>
          </w:p>
        </w:tc>
        <w:tc>
          <w:tcPr>
            <w:tcW w:w="50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68,858</w:t>
            </w:r>
          </w:p>
        </w:tc>
      </w:tr>
      <w:tr>
        <w:trPr>
          <w:trHeight w:val="20"/>
        </w:trPr>
        <w:tc>
          <w:tcPr>
            <w:tcW w:w="4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363"/>
        </w:trPr>
        <w:tc>
          <w:tcPr>
            <w:tcW w:w="4460" w:type="dxa"/>
            <w:vAlign w:val="bottom"/>
          </w:tcPr>
          <w:p>
            <w:pPr>
              <w:spacing w:after="0"/>
              <w:rPr>
                <w:sz w:val="24"/>
                <w:szCs w:val="24"/>
                <w:color w:val="auto"/>
              </w:rPr>
            </w:pPr>
          </w:p>
        </w:tc>
        <w:tc>
          <w:tcPr>
            <w:tcW w:w="1720" w:type="dxa"/>
            <w:vAlign w:val="bottom"/>
            <w:gridSpan w:val="2"/>
          </w:tcPr>
          <w:p>
            <w:pPr>
              <w:ind w:left="860"/>
              <w:spacing w:after="0"/>
              <w:rPr>
                <w:sz w:val="20"/>
                <w:szCs w:val="20"/>
                <w:color w:val="auto"/>
              </w:rPr>
            </w:pPr>
            <w:r>
              <w:rPr>
                <w:rFonts w:ascii="Arial" w:cs="Arial" w:eastAsia="Arial" w:hAnsi="Arial"/>
                <w:sz w:val="18"/>
                <w:szCs w:val="18"/>
                <w:color w:val="auto"/>
              </w:rPr>
              <w:t>F-19</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The following table summarizes the amortized cost, unrealized gains (losses) and estimated fair value of the available-for-sale marketable securities as of December 31, 2022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jc w:val="right"/>
              <w:ind w:right="235"/>
              <w:spacing w:after="0"/>
              <w:rPr>
                <w:sz w:val="20"/>
                <w:szCs w:val="20"/>
                <w:color w:val="auto"/>
              </w:rPr>
            </w:pPr>
            <w:r>
              <w:rPr>
                <w:rFonts w:ascii="Arial" w:cs="Arial" w:eastAsia="Arial" w:hAnsi="Arial"/>
                <w:sz w:val="16"/>
                <w:szCs w:val="16"/>
                <w:b w:val="1"/>
                <w:bCs w:val="1"/>
                <w:color w:val="auto"/>
                <w:w w:val="99"/>
              </w:rPr>
              <w:t>Amortized</w:t>
            </w:r>
          </w:p>
        </w:tc>
        <w:tc>
          <w:tcPr>
            <w:tcW w:w="1340" w:type="dxa"/>
            <w:vAlign w:val="bottom"/>
            <w:gridSpan w:val="2"/>
          </w:tcPr>
          <w:p>
            <w:pPr>
              <w:ind w:left="280"/>
              <w:spacing w:after="0"/>
              <w:rPr>
                <w:sz w:val="20"/>
                <w:szCs w:val="20"/>
                <w:color w:val="auto"/>
              </w:rPr>
            </w:pPr>
            <w:r>
              <w:rPr>
                <w:rFonts w:ascii="Arial" w:cs="Arial" w:eastAsia="Arial" w:hAnsi="Arial"/>
                <w:sz w:val="16"/>
                <w:szCs w:val="16"/>
                <w:b w:val="1"/>
                <w:bCs w:val="1"/>
                <w:color w:val="auto"/>
              </w:rPr>
              <w:t>Unrealized</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Unrealized</w:t>
            </w:r>
          </w:p>
        </w:tc>
        <w:tc>
          <w:tcPr>
            <w:tcW w:w="12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Estimated</w:t>
            </w:r>
          </w:p>
        </w:tc>
      </w:tr>
      <w:tr>
        <w:trPr>
          <w:trHeight w:val="203"/>
        </w:trPr>
        <w:tc>
          <w:tcPr>
            <w:tcW w:w="59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cost</w:t>
            </w: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gains</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losses</w:t>
            </w:r>
          </w:p>
        </w:tc>
        <w:tc>
          <w:tcPr>
            <w:tcW w:w="12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1140" w:type="dxa"/>
            <w:vAlign w:val="bottom"/>
            <w:gridSpan w:val="2"/>
            <w:shd w:val="clear" w:color="auto" w:fill="CCEEFF"/>
          </w:tcPr>
          <w:p>
            <w:pPr>
              <w:jc w:val="right"/>
              <w:ind w:right="235"/>
              <w:spacing w:after="0" w:line="196" w:lineRule="exact"/>
              <w:rPr>
                <w:sz w:val="20"/>
                <w:szCs w:val="20"/>
                <w:color w:val="auto"/>
              </w:rPr>
            </w:pPr>
            <w:r>
              <w:rPr>
                <w:rFonts w:ascii="Arial" w:cs="Arial" w:eastAsia="Arial" w:hAnsi="Arial"/>
                <w:sz w:val="18"/>
                <w:szCs w:val="18"/>
                <w:color w:val="auto"/>
                <w:w w:val="99"/>
              </w:rPr>
              <w:t>$ 182,441</w:t>
            </w:r>
          </w:p>
        </w:tc>
        <w:tc>
          <w:tcPr>
            <w:tcW w:w="52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1"/>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1"/>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$ 182,441</w:t>
            </w:r>
          </w:p>
        </w:tc>
        <w:tc>
          <w:tcPr>
            <w:tcW w:w="100" w:type="dxa"/>
            <w:vAlign w:val="bottom"/>
            <w:shd w:val="clear" w:color="auto" w:fill="CCEEFF"/>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U.S. Treasury bills</w:t>
            </w:r>
          </w:p>
        </w:tc>
        <w:tc>
          <w:tcPr>
            <w:tcW w:w="1140" w:type="dxa"/>
            <w:vAlign w:val="bottom"/>
            <w:gridSpan w:val="2"/>
          </w:tcPr>
          <w:p>
            <w:pPr>
              <w:jc w:val="right"/>
              <w:ind w:right="235"/>
              <w:spacing w:after="0" w:line="202" w:lineRule="exact"/>
              <w:rPr>
                <w:sz w:val="20"/>
                <w:szCs w:val="20"/>
                <w:color w:val="auto"/>
              </w:rPr>
            </w:pPr>
            <w:r>
              <w:rPr>
                <w:rFonts w:ascii="Arial" w:cs="Arial" w:eastAsia="Arial" w:hAnsi="Arial"/>
                <w:sz w:val="18"/>
                <w:szCs w:val="18"/>
                <w:color w:val="auto"/>
              </w:rPr>
              <w:t>14,818</w:t>
            </w:r>
          </w:p>
        </w:tc>
        <w:tc>
          <w:tcPr>
            <w:tcW w:w="520" w:type="dxa"/>
            <w:vAlign w:val="bottom"/>
          </w:tcPr>
          <w:p>
            <w:pPr>
              <w:spacing w:after="0"/>
              <w:rPr>
                <w:sz w:val="17"/>
                <w:szCs w:val="17"/>
                <w:color w:val="auto"/>
              </w:rPr>
            </w:pPr>
          </w:p>
        </w:tc>
        <w:tc>
          <w:tcPr>
            <w:tcW w:w="82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3</w:t>
            </w:r>
          </w:p>
        </w:tc>
        <w:tc>
          <w:tcPr>
            <w:tcW w:w="480" w:type="dxa"/>
            <w:vAlign w:val="bottom"/>
          </w:tcPr>
          <w:p>
            <w:pPr>
              <w:spacing w:after="0"/>
              <w:rPr>
                <w:sz w:val="17"/>
                <w:szCs w:val="17"/>
                <w:color w:val="auto"/>
              </w:rPr>
            </w:pPr>
          </w:p>
        </w:tc>
        <w:tc>
          <w:tcPr>
            <w:tcW w:w="92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14,821</w:t>
            </w:r>
          </w:p>
        </w:tc>
        <w:tc>
          <w:tcPr>
            <w:tcW w:w="100" w:type="dxa"/>
            <w:vAlign w:val="bottom"/>
          </w:tcPr>
          <w:p>
            <w:pPr>
              <w:spacing w:after="0"/>
              <w:rPr>
                <w:sz w:val="17"/>
                <w:szCs w:val="17"/>
                <w:color w:val="auto"/>
              </w:rPr>
            </w:pP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Government bonds</w:t>
            </w:r>
          </w:p>
        </w:tc>
        <w:tc>
          <w:tcPr>
            <w:tcW w:w="1140" w:type="dxa"/>
            <w:vAlign w:val="bottom"/>
            <w:gridSpan w:val="2"/>
            <w:shd w:val="clear" w:color="auto" w:fill="CCEEFF"/>
          </w:tcPr>
          <w:p>
            <w:pPr>
              <w:jc w:val="right"/>
              <w:ind w:right="235"/>
              <w:spacing w:after="0" w:line="202" w:lineRule="exact"/>
              <w:rPr>
                <w:sz w:val="20"/>
                <w:szCs w:val="20"/>
                <w:color w:val="auto"/>
              </w:rPr>
            </w:pPr>
            <w:r>
              <w:rPr>
                <w:rFonts w:ascii="Arial" w:cs="Arial" w:eastAsia="Arial" w:hAnsi="Arial"/>
                <w:sz w:val="18"/>
                <w:szCs w:val="18"/>
                <w:color w:val="auto"/>
              </w:rPr>
              <w:t>14,720</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(69)</w:t>
            </w:r>
          </w:p>
        </w:tc>
        <w:tc>
          <w:tcPr>
            <w:tcW w:w="1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14,651</w:t>
            </w:r>
          </w:p>
        </w:tc>
        <w:tc>
          <w:tcPr>
            <w:tcW w:w="100" w:type="dxa"/>
            <w:vAlign w:val="bottom"/>
            <w:shd w:val="clear" w:color="auto" w:fill="CCEEFF"/>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Government agency obligations</w:t>
            </w:r>
          </w:p>
        </w:tc>
        <w:tc>
          <w:tcPr>
            <w:tcW w:w="1140" w:type="dxa"/>
            <w:vAlign w:val="bottom"/>
            <w:gridSpan w:val="2"/>
          </w:tcPr>
          <w:p>
            <w:pPr>
              <w:jc w:val="right"/>
              <w:ind w:right="235"/>
              <w:spacing w:after="0" w:line="202" w:lineRule="exact"/>
              <w:rPr>
                <w:sz w:val="20"/>
                <w:szCs w:val="20"/>
                <w:color w:val="auto"/>
              </w:rPr>
            </w:pPr>
            <w:r>
              <w:rPr>
                <w:rFonts w:ascii="Arial" w:cs="Arial" w:eastAsia="Arial" w:hAnsi="Arial"/>
                <w:sz w:val="18"/>
                <w:szCs w:val="18"/>
                <w:color w:val="auto"/>
              </w:rPr>
              <w:t>22,431</w:t>
            </w:r>
          </w:p>
        </w:tc>
        <w:tc>
          <w:tcPr>
            <w:tcW w:w="520" w:type="dxa"/>
            <w:vAlign w:val="bottom"/>
          </w:tcPr>
          <w:p>
            <w:pPr>
              <w:spacing w:after="0"/>
              <w:rPr>
                <w:sz w:val="17"/>
                <w:szCs w:val="17"/>
                <w:color w:val="auto"/>
              </w:rPr>
            </w:pPr>
          </w:p>
        </w:tc>
        <w:tc>
          <w:tcPr>
            <w:tcW w:w="82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41</w:t>
            </w:r>
          </w:p>
        </w:tc>
        <w:tc>
          <w:tcPr>
            <w:tcW w:w="480" w:type="dxa"/>
            <w:vAlign w:val="bottom"/>
          </w:tcPr>
          <w:p>
            <w:pPr>
              <w:spacing w:after="0"/>
              <w:rPr>
                <w:sz w:val="17"/>
                <w:szCs w:val="17"/>
                <w:color w:val="auto"/>
              </w:rPr>
            </w:pPr>
          </w:p>
        </w:tc>
        <w:tc>
          <w:tcPr>
            <w:tcW w:w="92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(4)</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22,468</w:t>
            </w:r>
          </w:p>
        </w:tc>
        <w:tc>
          <w:tcPr>
            <w:tcW w:w="100" w:type="dxa"/>
            <w:vAlign w:val="bottom"/>
          </w:tcPr>
          <w:p>
            <w:pPr>
              <w:spacing w:after="0"/>
              <w:rPr>
                <w:sz w:val="17"/>
                <w:szCs w:val="17"/>
                <w:color w:val="auto"/>
              </w:rPr>
            </w:pP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debt obligations</w:t>
            </w:r>
          </w:p>
        </w:tc>
        <w:tc>
          <w:tcPr>
            <w:tcW w:w="1140" w:type="dxa"/>
            <w:vAlign w:val="bottom"/>
            <w:gridSpan w:val="2"/>
            <w:shd w:val="clear" w:color="auto" w:fill="CCEEFF"/>
          </w:tcPr>
          <w:p>
            <w:pPr>
              <w:jc w:val="right"/>
              <w:ind w:right="235"/>
              <w:spacing w:after="0" w:line="202" w:lineRule="exact"/>
              <w:rPr>
                <w:sz w:val="20"/>
                <w:szCs w:val="20"/>
                <w:color w:val="auto"/>
              </w:rPr>
            </w:pPr>
            <w:r>
              <w:rPr>
                <w:rFonts w:ascii="Arial" w:cs="Arial" w:eastAsia="Arial" w:hAnsi="Arial"/>
                <w:sz w:val="18"/>
                <w:szCs w:val="18"/>
                <w:color w:val="auto"/>
              </w:rPr>
              <w:t>26,041</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(151)</w:t>
            </w:r>
          </w:p>
        </w:tc>
        <w:tc>
          <w:tcPr>
            <w:tcW w:w="1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25,900</w:t>
            </w:r>
          </w:p>
        </w:tc>
        <w:tc>
          <w:tcPr>
            <w:tcW w:w="100" w:type="dxa"/>
            <w:vAlign w:val="bottom"/>
            <w:shd w:val="clear" w:color="auto" w:fill="CCEEFF"/>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1140" w:type="dxa"/>
            <w:vAlign w:val="bottom"/>
            <w:gridSpan w:val="2"/>
          </w:tcPr>
          <w:p>
            <w:pPr>
              <w:jc w:val="right"/>
              <w:ind w:right="235"/>
              <w:spacing w:after="0" w:line="202" w:lineRule="exact"/>
              <w:rPr>
                <w:sz w:val="20"/>
                <w:szCs w:val="20"/>
                <w:color w:val="auto"/>
              </w:rPr>
            </w:pPr>
            <w:r>
              <w:rPr>
                <w:rFonts w:ascii="Arial" w:cs="Arial" w:eastAsia="Arial" w:hAnsi="Arial"/>
                <w:sz w:val="18"/>
                <w:szCs w:val="18"/>
                <w:color w:val="auto"/>
              </w:rPr>
              <w:t>88,447</w:t>
            </w:r>
          </w:p>
        </w:tc>
        <w:tc>
          <w:tcPr>
            <w:tcW w:w="520" w:type="dxa"/>
            <w:vAlign w:val="bottom"/>
          </w:tcPr>
          <w:p>
            <w:pPr>
              <w:spacing w:after="0"/>
              <w:rPr>
                <w:sz w:val="17"/>
                <w:szCs w:val="17"/>
                <w:color w:val="auto"/>
              </w:rPr>
            </w:pPr>
          </w:p>
        </w:tc>
        <w:tc>
          <w:tcPr>
            <w:tcW w:w="82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92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88,447</w:t>
            </w:r>
          </w:p>
        </w:tc>
        <w:tc>
          <w:tcPr>
            <w:tcW w:w="100" w:type="dxa"/>
            <w:vAlign w:val="bottom"/>
          </w:tcPr>
          <w:p>
            <w:pPr>
              <w:spacing w:after="0"/>
              <w:rPr>
                <w:sz w:val="17"/>
                <w:szCs w:val="17"/>
                <w:color w:val="auto"/>
              </w:rPr>
            </w:pP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Asset-backed securities</w:t>
            </w:r>
          </w:p>
        </w:tc>
        <w:tc>
          <w:tcPr>
            <w:tcW w:w="1140" w:type="dxa"/>
            <w:vAlign w:val="bottom"/>
            <w:gridSpan w:val="2"/>
            <w:shd w:val="clear" w:color="auto" w:fill="CCEEFF"/>
          </w:tcPr>
          <w:p>
            <w:pPr>
              <w:jc w:val="right"/>
              <w:ind w:right="235"/>
              <w:spacing w:after="0" w:line="202" w:lineRule="exact"/>
              <w:rPr>
                <w:sz w:val="20"/>
                <w:szCs w:val="20"/>
                <w:color w:val="auto"/>
              </w:rPr>
            </w:pPr>
            <w:r>
              <w:rPr>
                <w:rFonts w:ascii="Arial" w:cs="Arial" w:eastAsia="Arial" w:hAnsi="Arial"/>
                <w:sz w:val="18"/>
                <w:szCs w:val="18"/>
                <w:color w:val="auto"/>
              </w:rPr>
              <w:t>11,508</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(105)</w:t>
            </w:r>
          </w:p>
        </w:tc>
        <w:tc>
          <w:tcPr>
            <w:tcW w:w="1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11,403</w:t>
            </w:r>
          </w:p>
        </w:tc>
        <w:tc>
          <w:tcPr>
            <w:tcW w:w="100" w:type="dxa"/>
            <w:vAlign w:val="bottom"/>
            <w:shd w:val="clear" w:color="auto" w:fill="CCEEFF"/>
          </w:tcPr>
          <w:p>
            <w:pPr>
              <w:spacing w:after="0"/>
              <w:rPr>
                <w:sz w:val="17"/>
                <w:szCs w:val="17"/>
                <w:color w:val="auto"/>
              </w:rPr>
            </w:pPr>
          </w:p>
        </w:tc>
      </w:tr>
      <w:tr>
        <w:trPr>
          <w:trHeight w:val="209"/>
        </w:trPr>
        <w:tc>
          <w:tcPr>
            <w:tcW w:w="59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120" w:type="dxa"/>
            <w:vAlign w:val="bottom"/>
            <w:tcBorders>
              <w:top w:val="single" w:sz="8" w:color="auto"/>
            </w:tcBorders>
          </w:tcPr>
          <w:p>
            <w:pPr>
              <w:jc w:val="right"/>
              <w:ind w:right="235"/>
              <w:spacing w:after="0"/>
              <w:rPr>
                <w:sz w:val="20"/>
                <w:szCs w:val="20"/>
                <w:color w:val="auto"/>
              </w:rPr>
            </w:pPr>
            <w:r>
              <w:rPr>
                <w:rFonts w:ascii="Arial" w:cs="Arial" w:eastAsia="Arial" w:hAnsi="Arial"/>
                <w:sz w:val="18"/>
                <w:szCs w:val="18"/>
                <w:color w:val="auto"/>
              </w:rPr>
              <w:t>360,406</w:t>
            </w:r>
          </w:p>
        </w:tc>
        <w:tc>
          <w:tcPr>
            <w:tcW w:w="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54</w:t>
            </w: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(329)</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360,131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amounts classified as cash equivalents</w:t>
            </w:r>
          </w:p>
        </w:tc>
        <w:tc>
          <w:tcPr>
            <w:tcW w:w="1140" w:type="dxa"/>
            <w:vAlign w:val="bottom"/>
            <w:gridSpan w:val="2"/>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(182,441)</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(182,441)</w:t>
            </w:r>
          </w:p>
        </w:tc>
      </w:tr>
      <w:tr>
        <w:trPr>
          <w:trHeight w:val="210"/>
        </w:trPr>
        <w:tc>
          <w:tcPr>
            <w:tcW w:w="5920" w:type="dxa"/>
            <w:vAlign w:val="bottom"/>
          </w:tcPr>
          <w:p>
            <w:pPr>
              <w:spacing w:after="0"/>
              <w:rPr>
                <w:sz w:val="20"/>
                <w:szCs w:val="20"/>
                <w:color w:val="auto"/>
              </w:rPr>
            </w:pPr>
            <w:r>
              <w:rPr>
                <w:rFonts w:ascii="Arial" w:cs="Arial" w:eastAsia="Arial" w:hAnsi="Arial"/>
                <w:sz w:val="18"/>
                <w:szCs w:val="18"/>
                <w:color w:val="auto"/>
              </w:rPr>
              <w:t>Total available-for-sale marketable securities</w:t>
            </w:r>
          </w:p>
        </w:tc>
        <w:tc>
          <w:tcPr>
            <w:tcW w:w="20" w:type="dxa"/>
            <w:vAlign w:val="bottom"/>
            <w:tcBorders>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8"/>
                <w:szCs w:val="18"/>
                <w:color w:val="auto"/>
                <w:w w:val="97"/>
              </w:rPr>
              <w:t>$ 177,965</w:t>
            </w: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54</w:t>
            </w:r>
          </w:p>
        </w:tc>
        <w:tc>
          <w:tcPr>
            <w:tcW w:w="4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rPr>
              <w:t>(329)</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$ 177,690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As of December 31, 2021 and 2022, no significant facts or circumstances were present to indicate a deterioration in the creditworthiness of the issuers of the available-for-sale securities, and the Company has no requirement or intention to sell these securities before maturity or recovery of their amortized cost basis. The Company considered the current and expected future economic and market conditions and determined that its investments were not significantly impacted. For all securities with a fair value less than its amortized cost basis, the Company determined the decline in fair value below amortized cost basis to be immaterial and non-credit related, and therefore no allowance for losses has been recorded. During the years ended December 31, 2021 and 2022, the Company did not recognize any impairment losses on its investments.</w:t>
      </w:r>
    </w:p>
    <w:p>
      <w:pPr>
        <w:spacing w:after="0" w:line="117"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The Company’s policy is to exclude the applicable accrued interest from both the fair value and the amortized cost basis of its available-for-sale securities for purposes of identifying and measuring an impairment. The Company presents accrued interest receivable related to the available-for-sale securities in prepaid expenses and other current assets, separate from available-for-sale marketable securities in the consolidated balance sheets. As of December 31, 2021 and 2022, accrued interest receivable was $0.2 million and $0.3 million, respectively. The Company’s accounting policy is to not measure an allowance for credit losses for accrued interest receivables and to write-off any uncollectible accrued interest receivable as a reversal of interest income in a timely manner, which it considers to be in the period in which the Company determines the accrued interest will not be collected. The Company has not written off any accrued interest receivables for the years ended December 31, 2021 and 2022.</w:t>
      </w:r>
    </w:p>
    <w:p>
      <w:pPr>
        <w:spacing w:after="0" w:line="99"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The amortized cost and fair value of available-for-sale marketable securities by contractual maturity were as follows as of December 31,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Amortized</w:t>
            </w:r>
          </w:p>
        </w:tc>
        <w:tc>
          <w:tcPr>
            <w:tcW w:w="1040" w:type="dxa"/>
            <w:vAlign w:val="bottom"/>
            <w:gridSpan w:val="3"/>
          </w:tcPr>
          <w:p>
            <w:pPr>
              <w:ind w:left="200"/>
              <w:spacing w:after="0"/>
              <w:rPr>
                <w:sz w:val="20"/>
                <w:szCs w:val="20"/>
                <w:color w:val="auto"/>
              </w:rPr>
            </w:pPr>
            <w:r>
              <w:rPr>
                <w:rFonts w:ascii="Arial" w:cs="Arial" w:eastAsia="Arial" w:hAnsi="Arial"/>
                <w:sz w:val="16"/>
                <w:szCs w:val="16"/>
                <w:b w:val="1"/>
                <w:bCs w:val="1"/>
                <w:color w:val="auto"/>
              </w:rPr>
              <w:t>Estimated</w:t>
            </w:r>
          </w:p>
        </w:tc>
      </w:tr>
      <w:tr>
        <w:trPr>
          <w:trHeight w:val="203"/>
        </w:trPr>
        <w:tc>
          <w:tcPr>
            <w:tcW w:w="444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cost</w:t>
            </w:r>
          </w:p>
        </w:tc>
        <w:tc>
          <w:tcPr>
            <w:tcW w:w="104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Maturing within one year</w:t>
            </w:r>
          </w:p>
        </w:tc>
        <w:tc>
          <w:tcPr>
            <w:tcW w:w="4740" w:type="dxa"/>
            <w:vAlign w:val="bottom"/>
            <w:gridSpan w:val="2"/>
            <w:shd w:val="clear" w:color="auto" w:fill="CCEEFF"/>
          </w:tcPr>
          <w:p>
            <w:pPr>
              <w:ind w:left="456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67,318</w:t>
            </w:r>
          </w:p>
        </w:tc>
        <w:tc>
          <w:tcPr>
            <w:tcW w:w="36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67,298</w:t>
            </w:r>
          </w:p>
        </w:tc>
      </w:tr>
      <w:tr>
        <w:trPr>
          <w:trHeight w:val="210"/>
        </w:trPr>
        <w:tc>
          <w:tcPr>
            <w:tcW w:w="4440" w:type="dxa"/>
            <w:vAlign w:val="bottom"/>
          </w:tcPr>
          <w:p>
            <w:pPr>
              <w:spacing w:after="0" w:line="202" w:lineRule="exact"/>
              <w:rPr>
                <w:sz w:val="20"/>
                <w:szCs w:val="20"/>
                <w:color w:val="auto"/>
              </w:rPr>
            </w:pPr>
            <w:r>
              <w:rPr>
                <w:rFonts w:ascii="Arial" w:cs="Arial" w:eastAsia="Arial" w:hAnsi="Arial"/>
                <w:sz w:val="18"/>
                <w:szCs w:val="18"/>
                <w:color w:val="auto"/>
              </w:rPr>
              <w:t>Maturing in one to five years</w:t>
            </w:r>
          </w:p>
        </w:tc>
        <w:tc>
          <w:tcPr>
            <w:tcW w:w="4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1,561</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1,560</w:t>
            </w:r>
          </w:p>
        </w:tc>
        <w:tc>
          <w:tcPr>
            <w:tcW w:w="60" w:type="dxa"/>
            <w:vAlign w:val="bottom"/>
          </w:tcPr>
          <w:p>
            <w:pPr>
              <w:spacing w:after="0"/>
              <w:rPr>
                <w:sz w:val="18"/>
                <w:szCs w:val="18"/>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available-for-sale marketable securities</w:t>
            </w:r>
          </w:p>
        </w:tc>
        <w:tc>
          <w:tcPr>
            <w:tcW w:w="45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68,879</w:t>
            </w:r>
          </w:p>
        </w:tc>
        <w:tc>
          <w:tcPr>
            <w:tcW w:w="36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68,858</w:t>
            </w:r>
          </w:p>
        </w:tc>
        <w:tc>
          <w:tcPr>
            <w:tcW w:w="60" w:type="dxa"/>
            <w:vAlign w:val="bottom"/>
            <w:shd w:val="clear" w:color="auto" w:fill="CCEEFF"/>
          </w:tcPr>
          <w:p>
            <w:pPr>
              <w:spacing w:after="0"/>
              <w:rPr>
                <w:sz w:val="17"/>
                <w:szCs w:val="17"/>
                <w:color w:val="auto"/>
              </w:rPr>
            </w:pPr>
          </w:p>
        </w:tc>
      </w:tr>
      <w:tr>
        <w:trPr>
          <w:trHeight w:val="20"/>
        </w:trPr>
        <w:tc>
          <w:tcPr>
            <w:tcW w:w="44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4440" w:type="dxa"/>
            <w:vAlign w:val="bottom"/>
          </w:tcPr>
          <w:p>
            <w:pPr>
              <w:spacing w:after="0"/>
              <w:rPr>
                <w:sz w:val="24"/>
                <w:szCs w:val="24"/>
                <w:color w:val="auto"/>
              </w:rPr>
            </w:pPr>
          </w:p>
        </w:tc>
        <w:tc>
          <w:tcPr>
            <w:tcW w:w="4740" w:type="dxa"/>
            <w:vAlign w:val="bottom"/>
            <w:gridSpan w:val="2"/>
          </w:tcPr>
          <w:p>
            <w:pPr>
              <w:ind w:left="880"/>
              <w:spacing w:after="0"/>
              <w:rPr>
                <w:sz w:val="20"/>
                <w:szCs w:val="20"/>
                <w:color w:val="auto"/>
              </w:rPr>
            </w:pPr>
            <w:r>
              <w:rPr>
                <w:rFonts w:ascii="Arial" w:cs="Arial" w:eastAsia="Arial" w:hAnsi="Arial"/>
                <w:sz w:val="18"/>
                <w:szCs w:val="18"/>
                <w:color w:val="auto"/>
              </w:rPr>
              <w:t>F-20</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-241935</wp:posOffset>
            </wp:positionV>
            <wp:extent cx="342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The amortized cost and fair value of available-for-sale marketable securities by contractual maturity were as follows as of December 31, 2022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020" w:type="dxa"/>
            <w:vAlign w:val="bottom"/>
          </w:tcPr>
          <w:p>
            <w:pPr>
              <w:spacing w:after="0"/>
              <w:rPr>
                <w:sz w:val="16"/>
                <w:szCs w:val="16"/>
                <w:color w:val="auto"/>
              </w:rPr>
            </w:pPr>
          </w:p>
        </w:tc>
        <w:tc>
          <w:tcPr>
            <w:tcW w:w="960" w:type="dxa"/>
            <w:vAlign w:val="bottom"/>
          </w:tcPr>
          <w:p>
            <w:pPr>
              <w:jc w:val="right"/>
              <w:ind w:right="34"/>
              <w:spacing w:after="0"/>
              <w:rPr>
                <w:sz w:val="20"/>
                <w:szCs w:val="20"/>
                <w:color w:val="auto"/>
              </w:rPr>
            </w:pPr>
            <w:r>
              <w:rPr>
                <w:rFonts w:ascii="Arial" w:cs="Arial" w:eastAsia="Arial" w:hAnsi="Arial"/>
                <w:sz w:val="16"/>
                <w:szCs w:val="16"/>
                <w:b w:val="1"/>
                <w:bCs w:val="1"/>
                <w:color w:val="auto"/>
              </w:rPr>
              <w:t>Amortized</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Estimated</w:t>
            </w:r>
          </w:p>
        </w:tc>
      </w:tr>
      <w:tr>
        <w:trPr>
          <w:trHeight w:val="203"/>
        </w:trPr>
        <w:tc>
          <w:tcPr>
            <w:tcW w:w="90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cost</w:t>
            </w: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Maturing within one year</w:t>
            </w:r>
          </w:p>
        </w:tc>
        <w:tc>
          <w:tcPr>
            <w:tcW w:w="96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$ 163,259</w:t>
            </w:r>
          </w:p>
        </w:tc>
        <w:tc>
          <w:tcPr>
            <w:tcW w:w="10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$ 163,030</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Maturing in one to five years</w:t>
            </w:r>
          </w:p>
        </w:tc>
        <w:tc>
          <w:tcPr>
            <w:tcW w:w="9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14,706</w:t>
            </w: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14,660</w:t>
            </w:r>
          </w:p>
        </w:tc>
      </w:tr>
      <w:tr>
        <w:trPr>
          <w:trHeight w:val="27"/>
        </w:trPr>
        <w:tc>
          <w:tcPr>
            <w:tcW w:w="90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available-for-sale marketable securities</w:t>
            </w:r>
          </w:p>
        </w:tc>
        <w:tc>
          <w:tcPr>
            <w:tcW w:w="96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$ 177,965</w:t>
            </w: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$ 177,690</w:t>
            </w:r>
          </w:p>
        </w:tc>
      </w:tr>
      <w:tr>
        <w:trPr>
          <w:trHeight w:val="20"/>
        </w:trPr>
        <w:tc>
          <w:tcPr>
            <w:tcW w:w="9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9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5. Equity and long-term investments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Affini-T investment</w:t>
      </w:r>
    </w:p>
    <w:p>
      <w:pPr>
        <w:spacing w:after="0" w:line="142" w:lineRule="exact"/>
        <w:rPr>
          <w:sz w:val="20"/>
          <w:szCs w:val="20"/>
          <w:color w:val="auto"/>
        </w:rPr>
      </w:pPr>
    </w:p>
    <w:p>
      <w:pPr>
        <w:ind w:left="120" w:right="860"/>
        <w:spacing w:after="0" w:line="259" w:lineRule="auto"/>
        <w:rPr>
          <w:sz w:val="20"/>
          <w:szCs w:val="20"/>
          <w:color w:val="auto"/>
        </w:rPr>
      </w:pPr>
      <w:r>
        <w:rPr>
          <w:rFonts w:ascii="Arial" w:cs="Arial" w:eastAsia="Arial" w:hAnsi="Arial"/>
          <w:sz w:val="17"/>
          <w:szCs w:val="17"/>
          <w:color w:val="auto"/>
        </w:rPr>
        <w:t>In December 2020, the Company entered into a convertible promissory note agreement and a side letter with Affini-T, a private biotechnology company. The Company participated with other investors in Affini-T’s convertible notes financing and paid cash of</w:t>
      </w:r>
    </w:p>
    <w:p>
      <w:pPr>
        <w:spacing w:after="0" w:line="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$1.5 million as a principal amount of a convertible promissory note with 6% annual interest and maturity in December 2021. The Affini-T Convertible Promissory Note was convertible in Affini-T’s next qualifying round of financing at a conversion price equal to the lesser of (i) 85% of the price per share paid by other investors (or 80% if the qualified financing occurs after June 24, 2021) or (ii) the price per share obtained by dividing $30.0 million by the number of shares of common stock of Affini-T outstanding immediately prior to the qualified financing. In accordance with the side letter, the Company was engaged to perform the testing of its gene editing system to knock-in T-cell receptor (“TCR”) targets in primary T-cells as selected by Affini-T. As consideration for services, the Company received 1,867,300 shares of restricted common stock of Affini-T, of which 10% of the shares vested on the issuance date and 90% shares were subject to forfeiture if no gene editing licensing agreement was finalized between the Company and Affini-T by October 31, 2021. Effective November 1, 2021, 1,653,570 shares of restricted common stock issued to the Company were forfeited and cancelled as a license agreement was not signed between the parties.</w:t>
      </w:r>
    </w:p>
    <w:p>
      <w:pPr>
        <w:spacing w:after="0" w:line="107"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In March 2022, Affini-T closed a qualifying round of financing, and the Affini-T Convertible Promissory Note and accrued interest were converted into 527,035 Series A convertible preferred stock shares of Affini-T. The Company accounted for its investments in the Affini-T Convertible Promissory Note and convertible preferred stock at fair value (see Note 3).</w:t>
      </w:r>
    </w:p>
    <w:p>
      <w:pPr>
        <w:spacing w:after="0" w:line="101" w:lineRule="exact"/>
        <w:rPr>
          <w:sz w:val="20"/>
          <w:szCs w:val="20"/>
          <w:color w:val="auto"/>
        </w:rPr>
      </w:pPr>
    </w:p>
    <w:p>
      <w:pPr>
        <w:ind w:left="120" w:right="340"/>
        <w:spacing w:after="0" w:line="244" w:lineRule="auto"/>
        <w:rPr>
          <w:sz w:val="20"/>
          <w:szCs w:val="20"/>
          <w:color w:val="auto"/>
        </w:rPr>
      </w:pPr>
      <w:r>
        <w:rPr>
          <w:rFonts w:ascii="Arial" w:cs="Arial" w:eastAsia="Arial" w:hAnsi="Arial"/>
          <w:sz w:val="18"/>
          <w:szCs w:val="18"/>
          <w:color w:val="auto"/>
        </w:rPr>
        <w:t>The Company performed a VIE analysis and concluded that it was not a primary beneficiary of Affini-T. The Company concluded that it exercised significant influence over Affini-T until November 2021, when shares of restricted common stock were forfeited and the Company’s former chief business officer, who was also the founder and chief executive officer of Affini-T, resigned. The Company accounted for its investment in 213,730 shares of Affini-T common stock at fair value of $0.3 million for each of the periods ending December 31, 2021 and 2022 (see Note 3).</w:t>
      </w:r>
    </w:p>
    <w:p>
      <w:pPr>
        <w:spacing w:after="0" w:line="109"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In June 2022, the Company entered into a Development, Option and License Agreement with Affini-T to perform research and development activities (see Note 7). The Company received an upfront equity consideration of 719,920 shares of Affini-T’s common stock with an estimated fair value of $1.3 million in June 2022. The fair value of common shares was estimated by the Company’s management, considering the most recent third-party valuation. No impairment loss was recognized on the Company’s investment in Affini-T as of December 31, 2021 and 2022.</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ViTToria investment</w:t>
      </w:r>
    </w:p>
    <w:p>
      <w:pPr>
        <w:spacing w:after="0" w:line="142"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The Company purchased 603,262 Series Seed-2 convertible preferred stock shares of ViTToria Biotherapeutics, Inc. (“Vittoria”), a private biotechnology company, for a total of $2.2 million cash in July and December 2021.</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5" w:right="4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42" w:lineRule="auto"/>
        <w:rPr>
          <w:sz w:val="20"/>
          <w:szCs w:val="20"/>
          <w:color w:val="auto"/>
        </w:rPr>
      </w:pPr>
      <w:r>
        <w:rPr>
          <w:rFonts w:ascii="Arial" w:cs="Arial" w:eastAsia="Arial" w:hAnsi="Arial"/>
          <w:sz w:val="18"/>
          <w:szCs w:val="18"/>
          <w:color w:val="auto"/>
        </w:rPr>
        <w:t>During the years ended December 31, 2021 and 2022, the Company did not have a board seat and owned less than 20% of outstanding voting shares of Vittoria. The investment in Vittoria does not provide the Company the ability to control or have significant influence over Vittoria’s operations. The Company accounted for the investment in Vittoria’s Series Seed-2 convertible preferred stock using the measurement alternative method. The fair value of the investment was estimated by management using per share price of $3.57, which was the price paid for convertible preferred stock shares by other investors. As of December 31, 2021 and 2022, the carrying value of Vittoria’s investment was $2.2 million and no impairment was recognized.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6. Consolidated balance sheets components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7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7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91"/>
              <w:spacing w:after="0" w:line="183" w:lineRule="exact"/>
              <w:rPr>
                <w:sz w:val="20"/>
                <w:szCs w:val="20"/>
                <w:color w:val="auto"/>
              </w:rPr>
            </w:pPr>
            <w:r>
              <w:rPr>
                <w:rFonts w:ascii="Arial" w:cs="Arial" w:eastAsia="Arial" w:hAnsi="Arial"/>
                <w:sz w:val="16"/>
                <w:szCs w:val="16"/>
                <w:b w:val="1"/>
                <w:bCs w:val="1"/>
                <w:color w:val="auto"/>
              </w:rPr>
              <w:t>Useful life</w:t>
            </w:r>
          </w:p>
        </w:tc>
        <w:tc>
          <w:tcPr>
            <w:tcW w:w="760" w:type="dxa"/>
            <w:vAlign w:val="bottom"/>
            <w:tcBorders>
              <w:bottom w:val="single" w:sz="8" w:color="auto"/>
            </w:tcBorders>
          </w:tcPr>
          <w:p>
            <w:pPr>
              <w:jc w:val="right"/>
              <w:ind w:right="112"/>
              <w:spacing w:after="0" w:line="183" w:lineRule="exact"/>
              <w:rPr>
                <w:sz w:val="20"/>
                <w:szCs w:val="20"/>
                <w:color w:val="auto"/>
              </w:rPr>
            </w:pPr>
            <w:r>
              <w:rPr>
                <w:rFonts w:ascii="Arial" w:cs="Arial" w:eastAsia="Arial" w:hAnsi="Arial"/>
                <w:sz w:val="16"/>
                <w:szCs w:val="16"/>
                <w:b w:val="1"/>
                <w:bCs w:val="1"/>
                <w:color w:val="auto"/>
              </w:rPr>
              <w:t>2021</w:t>
            </w:r>
          </w:p>
        </w:tc>
        <w:tc>
          <w:tcPr>
            <w:tcW w:w="840" w:type="dxa"/>
            <w:vAlign w:val="bottom"/>
            <w:tcBorders>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5"/>
                <w:szCs w:val="15"/>
                <w:color w:val="auto"/>
              </w:rPr>
            </w:pPr>
          </w:p>
        </w:tc>
      </w:tr>
      <w:tr>
        <w:trPr>
          <w:trHeight w:val="196"/>
        </w:trPr>
        <w:tc>
          <w:tcPr>
            <w:tcW w:w="7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Laboratory equipment</w:t>
            </w:r>
          </w:p>
        </w:tc>
        <w:tc>
          <w:tcPr>
            <w:tcW w:w="1480" w:type="dxa"/>
            <w:vAlign w:val="bottom"/>
            <w:shd w:val="clear" w:color="auto" w:fill="CCEEFF"/>
          </w:tcPr>
          <w:p>
            <w:pPr>
              <w:jc w:val="right"/>
              <w:ind w:right="191"/>
              <w:spacing w:after="0" w:line="196" w:lineRule="exact"/>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98"/>
              </w:rPr>
              <w:t>$3,029</w:t>
            </w:r>
          </w:p>
        </w:tc>
        <w:tc>
          <w:tcPr>
            <w:tcW w:w="8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$ 13,455</w:t>
            </w:r>
          </w:p>
        </w:tc>
        <w:tc>
          <w:tcPr>
            <w:tcW w:w="120" w:type="dxa"/>
            <w:vAlign w:val="bottom"/>
            <w:shd w:val="clear" w:color="auto" w:fill="CCEEFF"/>
          </w:tcPr>
          <w:p>
            <w:pPr>
              <w:spacing w:after="0"/>
              <w:rPr>
                <w:sz w:val="17"/>
                <w:szCs w:val="17"/>
                <w:color w:val="auto"/>
              </w:rPr>
            </w:pPr>
          </w:p>
        </w:tc>
      </w:tr>
      <w:tr>
        <w:trPr>
          <w:trHeight w:val="184"/>
        </w:trPr>
        <w:tc>
          <w:tcPr>
            <w:tcW w:w="7820" w:type="dxa"/>
            <w:vAlign w:val="bottom"/>
            <w:gridSpan w:val="2"/>
          </w:tcPr>
          <w:p>
            <w:pPr>
              <w:spacing w:after="0" w:line="183" w:lineRule="exact"/>
              <w:rPr>
                <w:sz w:val="20"/>
                <w:szCs w:val="20"/>
                <w:color w:val="auto"/>
              </w:rPr>
            </w:pPr>
            <w:r>
              <w:rPr>
                <w:rFonts w:ascii="Arial" w:cs="Arial" w:eastAsia="Arial" w:hAnsi="Arial"/>
                <w:sz w:val="18"/>
                <w:szCs w:val="18"/>
                <w:color w:val="auto"/>
              </w:rPr>
              <w:t>Leasehold improvements</w:t>
            </w:r>
          </w:p>
        </w:tc>
        <w:tc>
          <w:tcPr>
            <w:tcW w:w="1480" w:type="dxa"/>
            <w:vAlign w:val="bottom"/>
          </w:tcPr>
          <w:p>
            <w:pPr>
              <w:jc w:val="right"/>
              <w:ind w:right="191"/>
              <w:spacing w:after="0" w:line="183" w:lineRule="exact"/>
              <w:rPr>
                <w:sz w:val="20"/>
                <w:szCs w:val="20"/>
                <w:color w:val="auto"/>
              </w:rPr>
            </w:pPr>
            <w:r>
              <w:rPr>
                <w:rFonts w:ascii="Arial" w:cs="Arial" w:eastAsia="Arial" w:hAnsi="Arial"/>
                <w:sz w:val="18"/>
                <w:szCs w:val="18"/>
                <w:color w:val="auto"/>
              </w:rPr>
              <w:t>lesser of</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7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useful life or</w:t>
            </w: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7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the lease term</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293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3,531</w:t>
            </w:r>
          </w:p>
        </w:tc>
        <w:tc>
          <w:tcPr>
            <w:tcW w:w="120" w:type="dxa"/>
            <w:vAlign w:val="bottom"/>
          </w:tcPr>
          <w:p>
            <w:pPr>
              <w:spacing w:after="0"/>
              <w:rPr>
                <w:sz w:val="19"/>
                <w:szCs w:val="19"/>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148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190</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7"/>
                <w:szCs w:val="17"/>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Computers and related equipment</w:t>
            </w:r>
          </w:p>
        </w:tc>
        <w:tc>
          <w:tcPr>
            <w:tcW w:w="148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3</w:t>
            </w:r>
          </w:p>
        </w:tc>
        <w:tc>
          <w:tcPr>
            <w:tcW w:w="7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16</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54</w:t>
            </w:r>
          </w:p>
        </w:tc>
        <w:tc>
          <w:tcPr>
            <w:tcW w:w="120" w:type="dxa"/>
            <w:vAlign w:val="bottom"/>
          </w:tcPr>
          <w:p>
            <w:pPr>
              <w:spacing w:after="0"/>
              <w:rPr>
                <w:sz w:val="17"/>
                <w:szCs w:val="17"/>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Construction in progress</w:t>
            </w:r>
          </w:p>
        </w:tc>
        <w:tc>
          <w:tcPr>
            <w:tcW w:w="14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887</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1,402</w:t>
            </w:r>
          </w:p>
        </w:tc>
        <w:tc>
          <w:tcPr>
            <w:tcW w:w="120" w:type="dxa"/>
            <w:vAlign w:val="bottom"/>
            <w:shd w:val="clear" w:color="auto" w:fill="CCEEFF"/>
          </w:tcPr>
          <w:p>
            <w:pPr>
              <w:spacing w:after="0"/>
              <w:rPr>
                <w:sz w:val="17"/>
                <w:szCs w:val="17"/>
                <w:color w:val="auto"/>
              </w:rPr>
            </w:pPr>
          </w:p>
        </w:tc>
      </w:tr>
      <w:tr>
        <w:trPr>
          <w:trHeight w:val="209"/>
        </w:trPr>
        <w:tc>
          <w:tcPr>
            <w:tcW w:w="7820" w:type="dxa"/>
            <w:vAlign w:val="bottom"/>
            <w:gridSpan w:val="2"/>
          </w:tcPr>
          <w:p>
            <w:pPr>
              <w:spacing w:after="0"/>
              <w:rPr>
                <w:sz w:val="20"/>
                <w:szCs w:val="20"/>
                <w:color w:val="auto"/>
              </w:rPr>
            </w:pPr>
            <w:r>
              <w:rPr>
                <w:rFonts w:ascii="Arial" w:cs="Arial" w:eastAsia="Arial" w:hAnsi="Arial"/>
                <w:sz w:val="18"/>
                <w:szCs w:val="18"/>
                <w:color w:val="auto"/>
              </w:rPr>
              <w:t>Total property and equipment</w:t>
            </w:r>
          </w:p>
        </w:tc>
        <w:tc>
          <w:tcPr>
            <w:tcW w:w="14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4,415</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4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(553)</w:t>
            </w:r>
          </w:p>
        </w:tc>
        <w:tc>
          <w:tcPr>
            <w:tcW w:w="9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(2,248)</w:t>
            </w:r>
          </w:p>
        </w:tc>
      </w:tr>
      <w:tr>
        <w:trPr>
          <w:trHeight w:val="210"/>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Total property and equipment, net</w:t>
            </w:r>
          </w:p>
        </w:tc>
        <w:tc>
          <w:tcPr>
            <w:tcW w:w="148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3,862</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$ 16,522</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7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120" w:right="860"/>
        <w:spacing w:after="0" w:line="271" w:lineRule="auto"/>
        <w:rPr>
          <w:sz w:val="20"/>
          <w:szCs w:val="20"/>
          <w:color w:val="auto"/>
        </w:rPr>
      </w:pPr>
      <w:r>
        <w:rPr>
          <w:rFonts w:ascii="Arial" w:cs="Arial" w:eastAsia="Arial" w:hAnsi="Arial"/>
          <w:sz w:val="18"/>
          <w:szCs w:val="18"/>
          <w:color w:val="auto"/>
        </w:rPr>
        <w:t>The depreciation and amortization expense was $0.4 million and $1.7 million for the years ended December 31, 2021 and 2022, respectively.</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9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4"/>
          </w:tcPr>
          <w:p>
            <w:pPr>
              <w:jc w:val="center"/>
              <w:ind w:left="155"/>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9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95"/>
              <w:spacing w:after="0" w:line="183" w:lineRule="exact"/>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5"/>
                <w:szCs w:val="15"/>
                <w:color w:val="auto"/>
              </w:rPr>
            </w:pPr>
          </w:p>
        </w:tc>
      </w:tr>
      <w:tr>
        <w:trPr>
          <w:trHeight w:val="196"/>
        </w:trPr>
        <w:tc>
          <w:tcPr>
            <w:tcW w:w="9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Payroll tax credit</w:t>
            </w:r>
          </w:p>
        </w:tc>
        <w:tc>
          <w:tcPr>
            <w:tcW w:w="640" w:type="dxa"/>
            <w:vAlign w:val="bottom"/>
            <w:gridSpan w:val="2"/>
            <w:shd w:val="clear" w:color="auto" w:fill="CCEEFF"/>
          </w:tcPr>
          <w:p>
            <w:pPr>
              <w:jc w:val="right"/>
              <w:ind w:right="95"/>
              <w:spacing w:after="0" w:line="196" w:lineRule="exact"/>
              <w:rPr>
                <w:sz w:val="20"/>
                <w:szCs w:val="20"/>
                <w:color w:val="auto"/>
              </w:rPr>
            </w:pPr>
            <w:r>
              <w:rPr>
                <w:rFonts w:ascii="Arial" w:cs="Arial" w:eastAsia="Arial" w:hAnsi="Arial"/>
                <w:sz w:val="18"/>
                <w:szCs w:val="18"/>
                <w:color w:val="auto"/>
              </w:rPr>
              <w:t>$300</w:t>
            </w:r>
          </w:p>
        </w:tc>
        <w:tc>
          <w:tcPr>
            <w:tcW w:w="300" w:type="dxa"/>
            <w:vAlign w:val="bottom"/>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289</w:t>
            </w:r>
          </w:p>
        </w:tc>
      </w:tr>
      <w:tr>
        <w:trPr>
          <w:trHeight w:val="203"/>
        </w:trPr>
        <w:tc>
          <w:tcPr>
            <w:tcW w:w="9560" w:type="dxa"/>
            <w:vAlign w:val="bottom"/>
          </w:tcPr>
          <w:p>
            <w:pPr>
              <w:spacing w:after="0" w:line="202" w:lineRule="exact"/>
              <w:rPr>
                <w:sz w:val="20"/>
                <w:szCs w:val="20"/>
                <w:color w:val="auto"/>
              </w:rPr>
            </w:pPr>
            <w:r>
              <w:rPr>
                <w:rFonts w:ascii="Arial" w:cs="Arial" w:eastAsia="Arial" w:hAnsi="Arial"/>
                <w:sz w:val="18"/>
                <w:szCs w:val="18"/>
                <w:color w:val="auto"/>
              </w:rPr>
              <w:t>Interest receivable on available-for-sale marketable securities</w:t>
            </w:r>
          </w:p>
        </w:tc>
        <w:tc>
          <w:tcPr>
            <w:tcW w:w="640" w:type="dxa"/>
            <w:vAlign w:val="bottom"/>
            <w:gridSpan w:val="2"/>
          </w:tcPr>
          <w:p>
            <w:pPr>
              <w:jc w:val="right"/>
              <w:ind w:right="95"/>
              <w:spacing w:after="0" w:line="202" w:lineRule="exact"/>
              <w:rPr>
                <w:sz w:val="20"/>
                <w:szCs w:val="20"/>
                <w:color w:val="auto"/>
              </w:rPr>
            </w:pPr>
            <w:r>
              <w:rPr>
                <w:rFonts w:ascii="Arial" w:cs="Arial" w:eastAsia="Arial" w:hAnsi="Arial"/>
                <w:sz w:val="18"/>
                <w:szCs w:val="18"/>
                <w:color w:val="auto"/>
              </w:rPr>
              <w:t>190</w:t>
            </w:r>
          </w:p>
        </w:tc>
        <w:tc>
          <w:tcPr>
            <w:tcW w:w="3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261</w:t>
            </w:r>
          </w:p>
        </w:tc>
      </w:tr>
      <w:tr>
        <w:trPr>
          <w:trHeight w:val="203"/>
        </w:trPr>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research and development expenses</w:t>
            </w: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685</w:t>
            </w:r>
          </w:p>
        </w:tc>
      </w:tr>
      <w:tr>
        <w:trPr>
          <w:trHeight w:val="203"/>
        </w:trPr>
        <w:tc>
          <w:tcPr>
            <w:tcW w:w="9560" w:type="dxa"/>
            <w:vAlign w:val="bottom"/>
          </w:tcPr>
          <w:p>
            <w:pPr>
              <w:spacing w:after="0" w:line="202" w:lineRule="exact"/>
              <w:rPr>
                <w:sz w:val="20"/>
                <w:szCs w:val="20"/>
                <w:color w:val="auto"/>
              </w:rPr>
            </w:pPr>
            <w:r>
              <w:rPr>
                <w:rFonts w:ascii="Arial" w:cs="Arial" w:eastAsia="Arial" w:hAnsi="Arial"/>
                <w:sz w:val="18"/>
                <w:szCs w:val="18"/>
                <w:color w:val="auto"/>
              </w:rPr>
              <w:t>Grant income receivable</w:t>
            </w:r>
          </w:p>
        </w:tc>
        <w:tc>
          <w:tcPr>
            <w:tcW w:w="40" w:type="dxa"/>
            <w:vAlign w:val="bottom"/>
          </w:tcPr>
          <w:p>
            <w:pPr>
              <w:spacing w:after="0"/>
              <w:rPr>
                <w:sz w:val="17"/>
                <w:szCs w:val="17"/>
                <w:color w:val="auto"/>
              </w:rPr>
            </w:pPr>
          </w:p>
        </w:tc>
        <w:tc>
          <w:tcPr>
            <w:tcW w:w="6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125</w:t>
            </w:r>
          </w:p>
        </w:tc>
      </w:tr>
      <w:tr>
        <w:trPr>
          <w:trHeight w:val="203"/>
        </w:trPr>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prepaid expenses and other current assets</w:t>
            </w:r>
          </w:p>
        </w:tc>
        <w:tc>
          <w:tcPr>
            <w:tcW w:w="640" w:type="dxa"/>
            <w:vAlign w:val="bottom"/>
            <w:gridSpan w:val="2"/>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272</w:t>
            </w:r>
          </w:p>
        </w:tc>
        <w:tc>
          <w:tcPr>
            <w:tcW w:w="3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7"/>
              </w:rPr>
              <w:t>2,134</w:t>
            </w:r>
          </w:p>
        </w:tc>
      </w:tr>
      <w:tr>
        <w:trPr>
          <w:trHeight w:val="210"/>
        </w:trPr>
        <w:tc>
          <w:tcPr>
            <w:tcW w:w="9560" w:type="dxa"/>
            <w:vAlign w:val="bottom"/>
          </w:tcPr>
          <w:p>
            <w:pPr>
              <w:ind w:left="180"/>
              <w:spacing w:after="0"/>
              <w:rPr>
                <w:sz w:val="20"/>
                <w:szCs w:val="20"/>
                <w:color w:val="auto"/>
              </w:rPr>
            </w:pPr>
            <w:r>
              <w:rPr>
                <w:rFonts w:ascii="Arial" w:cs="Arial" w:eastAsia="Arial" w:hAnsi="Arial"/>
                <w:sz w:val="18"/>
                <w:szCs w:val="18"/>
                <w:color w:val="auto"/>
              </w:rPr>
              <w:t>Total prepaid expenses and other current assets</w:t>
            </w:r>
          </w:p>
        </w:tc>
        <w:tc>
          <w:tcPr>
            <w:tcW w:w="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w w:val="99"/>
              </w:rPr>
              <w:t>$762</w:t>
            </w:r>
          </w:p>
        </w:tc>
        <w:tc>
          <w:tcPr>
            <w:tcW w:w="300" w:type="dxa"/>
            <w:vAlign w:val="bottom"/>
            <w:tcBorders>
              <w:top w:val="single" w:sz="8" w:color="auto"/>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3,494</w:t>
            </w:r>
          </w:p>
        </w:tc>
        <w:tc>
          <w:tcPr>
            <w:tcW w:w="60" w:type="dxa"/>
            <w:vAlign w:val="bottom"/>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9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9"/>
        </w:trPr>
        <w:tc>
          <w:tcPr>
            <w:tcW w:w="9560" w:type="dxa"/>
            <w:vAlign w:val="bottom"/>
          </w:tcPr>
          <w:p>
            <w:pPr>
              <w:spacing w:after="0"/>
              <w:rPr>
                <w:sz w:val="20"/>
                <w:szCs w:val="20"/>
                <w:color w:val="auto"/>
              </w:rPr>
            </w:pPr>
            <w:r>
              <w:rPr>
                <w:rFonts w:ascii="Arial" w:cs="Arial" w:eastAsia="Arial" w:hAnsi="Arial"/>
                <w:sz w:val="18"/>
                <w:szCs w:val="18"/>
                <w:color w:val="auto"/>
              </w:rPr>
              <w:t>Other assets consist of the following (in thousands):</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8"/>
        </w:trPr>
        <w:tc>
          <w:tcPr>
            <w:tcW w:w="9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spacing w:after="0"/>
              <w:rPr>
                <w:sz w:val="12"/>
                <w:szCs w:val="12"/>
                <w:color w:val="auto"/>
              </w:rPr>
            </w:pPr>
          </w:p>
        </w:tc>
      </w:tr>
      <w:tr>
        <w:trPr>
          <w:trHeight w:val="230"/>
        </w:trPr>
        <w:tc>
          <w:tcPr>
            <w:tcW w:w="9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gridSpan w:val="4"/>
          </w:tcPr>
          <w:p>
            <w:pPr>
              <w:jc w:val="center"/>
              <w:ind w:left="155"/>
              <w:spacing w:after="0"/>
              <w:rPr>
                <w:sz w:val="20"/>
                <w:szCs w:val="20"/>
                <w:color w:val="auto"/>
              </w:rPr>
            </w:pPr>
            <w:r>
              <w:rPr>
                <w:rFonts w:ascii="Arial" w:cs="Arial" w:eastAsia="Arial" w:hAnsi="Arial"/>
                <w:sz w:val="16"/>
                <w:szCs w:val="16"/>
                <w:b w:val="1"/>
                <w:bCs w:val="1"/>
                <w:color w:val="auto"/>
              </w:rPr>
              <w:t>December 31,</w:t>
            </w:r>
          </w:p>
        </w:tc>
      </w:tr>
      <w:tr>
        <w:trPr>
          <w:trHeight w:val="195"/>
        </w:trPr>
        <w:tc>
          <w:tcPr>
            <w:tcW w:w="9560" w:type="dxa"/>
            <w:vAlign w:val="bottom"/>
          </w:tcPr>
          <w:p>
            <w:pPr>
              <w:spacing w:after="0"/>
              <w:rPr>
                <w:sz w:val="16"/>
                <w:szCs w:val="16"/>
                <w:color w:val="auto"/>
              </w:rPr>
            </w:pPr>
          </w:p>
        </w:tc>
        <w:tc>
          <w:tcPr>
            <w:tcW w:w="640" w:type="dxa"/>
            <w:vAlign w:val="bottom"/>
            <w:tcBorders>
              <w:top w:val="single" w:sz="8" w:color="auto"/>
            </w:tcBorders>
            <w:gridSpan w:val="2"/>
          </w:tcPr>
          <w:p>
            <w:pPr>
              <w:jc w:val="right"/>
              <w:ind w:right="115"/>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-615950</wp:posOffset>
            </wp:positionV>
            <wp:extent cx="342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-7620</wp:posOffset>
            </wp:positionV>
            <wp:extent cx="6995160" cy="13716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ind w:left="120"/>
        <w:spacing w:after="0" w:line="234" w:lineRule="auto"/>
        <w:rPr>
          <w:sz w:val="20"/>
          <w:szCs w:val="20"/>
          <w:color w:val="auto"/>
        </w:rPr>
      </w:pPr>
      <w:r>
        <w:rPr>
          <w:rFonts w:ascii="Arial" w:cs="Arial" w:eastAsia="Arial" w:hAnsi="Arial"/>
          <w:sz w:val="18"/>
          <w:szCs w:val="18"/>
          <w:color w:val="auto"/>
        </w:rPr>
        <w:t>Operating lease deposit</w:t>
      </w:r>
    </w:p>
    <w:p>
      <w:pPr>
        <w:ind w:left="120"/>
        <w:spacing w:after="0" w:line="235" w:lineRule="auto"/>
        <w:rPr>
          <w:sz w:val="20"/>
          <w:szCs w:val="20"/>
          <w:color w:val="auto"/>
        </w:rPr>
      </w:pPr>
      <w:r>
        <w:rPr>
          <w:rFonts w:ascii="Arial" w:cs="Arial" w:eastAsia="Arial" w:hAnsi="Arial"/>
          <w:sz w:val="18"/>
          <w:szCs w:val="18"/>
          <w:color w:val="auto"/>
        </w:rPr>
        <w:t>Prepaid property and equipment</w:t>
      </w:r>
    </w:p>
    <w:p>
      <w:pPr>
        <w:ind w:left="120"/>
        <w:spacing w:after="0" w:line="235" w:lineRule="auto"/>
        <w:rPr>
          <w:sz w:val="20"/>
          <w:szCs w:val="20"/>
          <w:color w:val="auto"/>
        </w:rPr>
      </w:pPr>
      <w:r>
        <w:rPr>
          <w:rFonts w:ascii="Arial" w:cs="Arial" w:eastAsia="Arial" w:hAnsi="Arial"/>
          <w:sz w:val="18"/>
          <w:szCs w:val="18"/>
          <w:color w:val="auto"/>
        </w:rPr>
        <w:t>Long-term prepaid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Deferred finance issuance costs</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2890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54610</wp:posOffset>
            </wp:positionV>
            <wp:extent cx="607758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spacing w:after="0" w:line="209" w:lineRule="exact"/>
        <w:rPr>
          <w:sz w:val="20"/>
          <w:szCs w:val="20"/>
          <w:color w:val="auto"/>
        </w:rPr>
      </w:pPr>
    </w:p>
    <w:p>
      <w:pPr>
        <w:jc w:val="right"/>
        <w:ind w:right="316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br w:type="column"/>
      </w:r>
    </w:p>
    <w:p>
      <w:pPr>
        <w:spacing w:after="0" w:line="234" w:lineRule="auto"/>
        <w:tabs>
          <w:tab w:leader="none" w:pos="900" w:val="left"/>
        </w:tabs>
        <w:rPr>
          <w:sz w:val="20"/>
          <w:szCs w:val="20"/>
          <w:color w:val="auto"/>
        </w:rPr>
      </w:pPr>
      <w:r>
        <w:rPr>
          <w:rFonts w:ascii="Arial" w:cs="Arial" w:eastAsia="Arial" w:hAnsi="Arial"/>
          <w:sz w:val="18"/>
          <w:szCs w:val="18"/>
          <w:color w:val="auto"/>
        </w:rPr>
        <w:t>$ 276</w:t>
      </w:r>
      <w:r>
        <w:rPr>
          <w:sz w:val="20"/>
          <w:szCs w:val="20"/>
          <w:color w:val="auto"/>
        </w:rPr>
        <w:tab/>
      </w:r>
      <w:r>
        <w:rPr>
          <w:rFonts w:ascii="Arial" w:cs="Arial" w:eastAsia="Arial" w:hAnsi="Arial"/>
          <w:sz w:val="18"/>
          <w:szCs w:val="18"/>
          <w:color w:val="auto"/>
        </w:rPr>
        <w:t>$ 237</w:t>
      </w:r>
    </w:p>
    <w:p>
      <w:pPr>
        <w:ind w:left="1220" w:hanging="1081"/>
        <w:spacing w:after="0" w:line="235" w:lineRule="auto"/>
        <w:tabs>
          <w:tab w:leader="none" w:pos="12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p>
    <w:p>
      <w:pPr>
        <w:ind w:left="2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213</w:t>
      </w:r>
    </w:p>
    <w:p>
      <w:pPr>
        <w:spacing w:after="0" w:line="1"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88328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tabs>
          <w:tab w:leader="none" w:pos="900" w:val="left"/>
        </w:tabs>
        <w:rPr>
          <w:sz w:val="20"/>
          <w:szCs w:val="20"/>
          <w:color w:val="auto"/>
        </w:rPr>
      </w:pPr>
      <w:r>
        <w:rPr>
          <w:rFonts w:ascii="Arial" w:cs="Arial" w:eastAsia="Arial" w:hAnsi="Arial"/>
          <w:sz w:val="18"/>
          <w:szCs w:val="18"/>
          <w:color w:val="auto"/>
        </w:rPr>
        <w:t>$ 669</w:t>
      </w:r>
      <w:r>
        <w:rPr>
          <w:sz w:val="20"/>
          <w:szCs w:val="20"/>
          <w:color w:val="auto"/>
        </w:rPr>
        <w:tab/>
      </w:r>
      <w:r>
        <w:rPr>
          <w:rFonts w:ascii="Arial" w:cs="Arial" w:eastAsia="Arial" w:hAnsi="Arial"/>
          <w:sz w:val="18"/>
          <w:szCs w:val="18"/>
          <w:color w:val="auto"/>
        </w:rPr>
        <w:t>$ 450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88328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20320</wp:posOffset>
            </wp:positionV>
            <wp:extent cx="88328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328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46355</wp:posOffset>
            </wp:positionV>
            <wp:extent cx="91694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916940" cy="17145"/>
                    </a:xfrm>
                    <a:prstGeom prst="rect">
                      <a:avLst/>
                    </a:prstGeom>
                    <a:noFill/>
                  </pic:spPr>
                </pic:pic>
              </a:graphicData>
            </a:graphic>
          </wp:anchor>
        </w:drawing>
      </w:r>
    </w:p>
    <w:p>
      <w:pPr>
        <w:sectPr>
          <w:pgSz w:w="11900" w:h="16838" w:orient="portrait"/>
          <w:cols w:equalWidth="0" w:num="2">
            <w:col w:w="8960" w:space="720"/>
            <w:col w:w="1460"/>
          </w:cols>
          <w:pgMar w:left="320" w:top="455" w:right="439" w:bottom="1440" w:gutter="0" w:footer="0" w:header="0"/>
          <w:type w:val="continuous"/>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12065</wp:posOffset>
            </wp:positionV>
            <wp:extent cx="96012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5" w:lineRule="exact"/>
        <w:rPr>
          <w:sz w:val="20"/>
          <w:szCs w:val="20"/>
          <w:color w:val="auto"/>
        </w:rPr>
      </w:pPr>
    </w:p>
    <w:p>
      <w:pPr>
        <w:jc w:val="both"/>
        <w:ind w:left="9780"/>
        <w:spacing w:after="0"/>
        <w:tabs>
          <w:tab w:leader="none" w:pos="1070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1371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personnel related expenses</w:t>
      </w:r>
    </w:p>
    <w:p>
      <w:pPr>
        <w:ind w:left="120"/>
        <w:spacing w:after="0" w:line="234" w:lineRule="auto"/>
        <w:rPr>
          <w:sz w:val="20"/>
          <w:szCs w:val="20"/>
          <w:color w:val="auto"/>
        </w:rPr>
      </w:pPr>
      <w:r>
        <w:rPr>
          <w:rFonts w:ascii="Arial" w:cs="Arial" w:eastAsia="Arial" w:hAnsi="Arial"/>
          <w:sz w:val="18"/>
          <w:szCs w:val="18"/>
          <w:color w:val="auto"/>
        </w:rPr>
        <w:t>Accrued legal and professional services</w:t>
      </w:r>
    </w:p>
    <w:p>
      <w:pPr>
        <w:ind w:left="120"/>
        <w:spacing w:after="0" w:line="235" w:lineRule="auto"/>
        <w:rPr>
          <w:sz w:val="20"/>
          <w:szCs w:val="20"/>
          <w:color w:val="auto"/>
        </w:rPr>
      </w:pPr>
      <w:r>
        <w:rPr>
          <w:rFonts w:ascii="Arial" w:cs="Arial" w:eastAsia="Arial" w:hAnsi="Arial"/>
          <w:sz w:val="18"/>
          <w:szCs w:val="18"/>
          <w:color w:val="auto"/>
        </w:rPr>
        <w:t>Accrued 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Accrued research and development expenses</w:t>
      </w:r>
    </w:p>
    <w:p>
      <w:pPr>
        <w:ind w:left="120"/>
        <w:spacing w:after="0"/>
        <w:rPr>
          <w:sz w:val="20"/>
          <w:szCs w:val="20"/>
          <w:color w:val="auto"/>
        </w:rPr>
      </w:pPr>
      <w:r>
        <w:rPr>
          <w:rFonts w:ascii="Arial" w:cs="Arial" w:eastAsia="Arial" w:hAnsi="Arial"/>
          <w:sz w:val="18"/>
          <w:szCs w:val="18"/>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7"/>
          <w:szCs w:val="17"/>
          <w:color w:val="auto"/>
        </w:rPr>
        <w:t>Total 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00075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0" w:hanging="114"/>
        <w:spacing w:after="0"/>
        <w:tabs>
          <w:tab w:leader="none" w:pos="1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2,244$4,819</w:t>
      </w:r>
    </w:p>
    <w:p>
      <w:pPr>
        <w:ind w:left="280"/>
        <w:spacing w:after="0" w:line="234" w:lineRule="auto"/>
        <w:rPr>
          <w:rFonts w:ascii="Arial" w:cs="Arial" w:eastAsia="Arial" w:hAnsi="Arial"/>
          <w:sz w:val="18"/>
          <w:szCs w:val="18"/>
          <w:color w:val="auto"/>
        </w:rPr>
      </w:pPr>
      <w:r>
        <w:rPr>
          <w:rFonts w:ascii="Arial" w:cs="Arial" w:eastAsia="Arial" w:hAnsi="Arial"/>
          <w:sz w:val="18"/>
          <w:szCs w:val="18"/>
          <w:color w:val="auto"/>
        </w:rPr>
        <w:t>4141,200</w:t>
      </w:r>
    </w:p>
    <w:p>
      <w:pPr>
        <w:ind w:left="280"/>
        <w:spacing w:after="0"/>
        <w:rPr>
          <w:rFonts w:ascii="Arial" w:cs="Arial" w:eastAsia="Arial" w:hAnsi="Arial"/>
          <w:sz w:val="18"/>
          <w:szCs w:val="18"/>
          <w:color w:val="auto"/>
        </w:rPr>
      </w:pPr>
      <w:r>
        <w:rPr>
          <w:rFonts w:ascii="Arial" w:cs="Arial" w:eastAsia="Arial" w:hAnsi="Arial"/>
          <w:sz w:val="18"/>
          <w:szCs w:val="18"/>
          <w:color w:val="auto"/>
        </w:rPr>
        <w:t>382</w:t>
      </w:r>
      <w:r>
        <w:rPr>
          <w:rFonts w:ascii="Arial" w:cs="Arial" w:eastAsia="Arial" w:hAnsi="Arial"/>
          <w:sz w:val="17"/>
          <w:szCs w:val="17"/>
          <w:color w:val="auto"/>
        </w:rPr>
        <w:t>896</w:t>
      </w:r>
    </w:p>
    <w:p>
      <w:pPr>
        <w:ind w:left="280"/>
        <w:spacing w:after="0" w:line="234" w:lineRule="auto"/>
        <w:rPr>
          <w:rFonts w:ascii="Arial" w:cs="Arial" w:eastAsia="Arial" w:hAnsi="Arial"/>
          <w:sz w:val="18"/>
          <w:szCs w:val="18"/>
          <w:color w:val="auto"/>
        </w:rPr>
      </w:pPr>
      <w:r>
        <w:rPr>
          <w:rFonts w:ascii="Arial" w:cs="Arial" w:eastAsia="Arial" w:hAnsi="Arial"/>
          <w:sz w:val="18"/>
          <w:szCs w:val="18"/>
          <w:color w:val="auto"/>
        </w:rPr>
        <w:t>1471,684</w:t>
      </w:r>
    </w:p>
    <w:p>
      <w:pPr>
        <w:ind w:left="280"/>
        <w:spacing w:after="0"/>
        <w:rPr>
          <w:rFonts w:ascii="Arial" w:cs="Arial" w:eastAsia="Arial" w:hAnsi="Arial"/>
          <w:sz w:val="18"/>
          <w:szCs w:val="18"/>
          <w:color w:val="auto"/>
        </w:rPr>
      </w:pPr>
      <w:r>
        <w:rPr>
          <w:rFonts w:ascii="Arial" w:cs="Arial" w:eastAsia="Arial" w:hAnsi="Arial"/>
          <w:sz w:val="18"/>
          <w:szCs w:val="18"/>
          <w:color w:val="auto"/>
        </w:rPr>
        <w:t>344</w:t>
      </w:r>
      <w:r>
        <w:rPr>
          <w:rFonts w:ascii="Arial" w:cs="Arial" w:eastAsia="Arial" w:hAnsi="Arial"/>
          <w:sz w:val="17"/>
          <w:szCs w:val="17"/>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96012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tabs>
          <w:tab w:leader="none" w:pos="940" w:val="left"/>
        </w:tabs>
        <w:rPr>
          <w:sz w:val="20"/>
          <w:szCs w:val="20"/>
          <w:color w:val="auto"/>
        </w:rPr>
      </w:pPr>
      <w:r>
        <w:rPr>
          <w:rFonts w:ascii="Arial" w:cs="Arial" w:eastAsia="Arial" w:hAnsi="Arial"/>
          <w:sz w:val="18"/>
          <w:szCs w:val="18"/>
          <w:color w:val="auto"/>
        </w:rPr>
        <w:t>$3,531</w:t>
      </w:r>
      <w:r>
        <w:rPr>
          <w:sz w:val="20"/>
          <w:szCs w:val="20"/>
          <w:color w:val="auto"/>
        </w:rPr>
        <w:tab/>
      </w:r>
      <w:r>
        <w:rPr>
          <w:rFonts w:ascii="Arial" w:cs="Arial" w:eastAsia="Arial" w:hAnsi="Arial"/>
          <w:sz w:val="18"/>
          <w:szCs w:val="18"/>
          <w:color w:val="auto"/>
        </w:rPr>
        <w:t>$8,790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96012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20320</wp:posOffset>
            </wp:positionV>
            <wp:extent cx="96012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46355</wp:posOffset>
            </wp:positionV>
            <wp:extent cx="99441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99441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40" w:space="720"/>
            <w:col w:w="1560"/>
          </w:cols>
          <w:pgMar w:left="320" w:top="455" w:right="459" w:bottom="1440" w:gutter="0" w:footer="0" w:header="0"/>
          <w:type w:val="continuous"/>
        </w:sectPr>
      </w:pPr>
    </w:p>
    <w:p>
      <w:pPr>
        <w:spacing w:after="0" w:line="16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7. Significant agreements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Moderna strategic collaboration and license agreement</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Terms of the agreement</w:t>
      </w:r>
    </w:p>
    <w:p>
      <w:pPr>
        <w:spacing w:after="0" w:line="14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 xml:space="preserve">On October 29, 2021, the effective date, the Company entered into a Strategic Collaboration and License Agreement (the “Moderna Agreement”) with ModernaTX, Inc. (“Moderna”). The parties will collaborate on the research and development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genome editing therapies directed at certain targets and the commercialization of such genome editing therapies. The collaboration provides Moderna with exclusive access to the Company’s technology platform during the research period in (1) the field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editing technology for a therapeutic, ameliorative or prophylactic application by way of knock-out through InDel formation or base editing or insertion of an exogenous DNA template (such field, “DT Field”) and (2) the field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editing technology for a therapeutic, ameliorative or prophylactic application outside the use of (a) DNA donor templates and (b) no exogenous template at all but including (c) correction by base editing (such field, “RT Field”). The parties formed a joint steering committee, a joint research subcommittee and a joint patent subcommittee to oversee the collaboration activities.</w:t>
      </w:r>
    </w:p>
    <w:p>
      <w:pPr>
        <w:spacing w:after="0" w:line="102"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color w:val="auto"/>
        </w:rPr>
        <w:t>Under the terms of the Moderna Agreement, the parties will collaborate on one or more programs in the RT Field (the “Moderna RT program”) and two programs in the DT Field (the “Moderna DT program” and the “DT Co-Co program”).</w:t>
      </w:r>
    </w:p>
    <w:p>
      <w:pPr>
        <w:spacing w:after="0" w:line="86"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With respect to the Moderna RT and Moderna DT programs, the parties will collaborate on the research and development of product candidates under the approved research plans. The initial research term of the Moderna RT program is four years, which may be extended by Moderna for an additional three years upon written notice and a payment of extension fees. The initial research term of the Moderna DT program is four years. The Company granted to Moderna an option to obtain an exclusive license to develop, manufacture and commercialize up to ten Moderna RT program candidates and up to two Moderna DT program candidates at any time during the research term and prior to filing of an investigational new drug (“IND”) application with the Food Drug and Administration (“FDA”) or any similar application filed with a regulatory authority in a country other than the United States (“U.S.”), subject to Moderna’s payment of an option exercise fee of $10.0 million per target.</w:t>
      </w:r>
    </w:p>
    <w:p>
      <w:pPr>
        <w:spacing w:after="0" w:line="11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With respect to the DT Co-Co program, the parties will work together on the co-development and commercialization of products and share costs and profits equally. The Company maintains commercialization rights in the U.S. (subject to Moderna’s right to appoint up to 50% of the U.S. sales force for the DT Co-Co program), while Moderna maintains these rights in countries other than the U.S. The initial research term for the DT Co-Co program is four years, and each party has a right to opt-out of the DT Co-CO program at any time, at which point the other party has the right to solely continue the development and commercialization activities. If there is no development candidate nomination by the end of the initial research term, the DT Co-Co program will expire, unless the parties have mutually agreed to continue the program.</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5" w:right="459" w:bottom="1440" w:gutter="0" w:footer="0" w:header="0"/>
          <w:type w:val="continuous"/>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Arial" w:cs="Arial" w:eastAsia="Arial" w:hAnsi="Arial"/>
          <w:sz w:val="17"/>
          <w:szCs w:val="17"/>
          <w:color w:val="auto"/>
        </w:rPr>
        <w:t>During the year ended December 31, 2021, the Company received a non-refundable upfront payment of $40.0 million and a $5.0 million payment for the first year of research costs. Concurrent with the Moderna Collaboration Agreement, Moderna also provided $30.0 million in cash in the form of a convertible promissory note (see Note 9) pursuant to a convertible promissory note agreement dated October 29, 2021 (the “Moderna Convertible Promissory Note Agreement”). Moderna will reimburse the Company up to $5.0 million in annual research and development costs related to the Moderna DT and Moderna RT programs, or up to the agreed amount of expenses per the budget.</w:t>
      </w:r>
    </w:p>
    <w:p>
      <w:pPr>
        <w:spacing w:after="0" w:line="98"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The Company is eligible to receive (i) technology milestone fees related to the achievement of certain preclinical research objectives of up to $75.0 million, (ii) development and regulatory milestones for the Moderna DT and Moderna RT programs of up to $100.0 million per target, (iii) sales milestones of up to $200.0 million per target, and (iv) royalties ranging from a mid-single digit to a low double-digit percentage of annual net sales of a licensed product. With respect to the DT Co-Co program for which the opt-out party has exercised its opt-out right, the continuing party will pay to the opt-out party, certain development, regulatory and sales milestone payments that will not exceed an aggregate $239.0 million per DT Co-Co target, and opt-out royalties ranging from a high-single digit to a low-teens percentage of annual net sales of a licensed product.</w:t>
      </w:r>
    </w:p>
    <w:p>
      <w:pPr>
        <w:spacing w:after="0" w:line="117"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term of the Moderna Agreement will continue on a licensed product-by-licensed product and country-by-country basis, until the expiration of the applicable royalty term. The royalty term commences on the first commercial sale of a licensed product and terminates on the latest of: (a) the expiration or abandonment of the last valid claim of a patent within the licensed Moderna DT or RT technology; (b) 10 years after the first commercial sale of a licensed product; and (c) expiration of the regulatory exclusivity. Upon the expiration of the term of a licensed product in the Moderna DT or Moderna RT program, the licenses granted to Moderna will survive and become perpetual, fully paid and royalty-free. Each party may terminate the Moderna Agreement on a program-by-program basis upon written notice to the other party for an uncured material breach or insolvency. The Company may terminate the Moderna Agreement upon written notice to Moderna for a patent challenge. Additionally, Moderna may terminate the agreement at its convenience with respect to Moderna DT or Moderna RT programs for any reason upon at least: (a) 60 days’ prior written notice if a first commercial sale has not occurred for the products in such program, or (b) 180 days’ prior written notice if a first commercial sale of a product in such program has occurred.</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analysis and revenue recognition</w:t>
      </w:r>
    </w:p>
    <w:p>
      <w:pPr>
        <w:spacing w:after="0" w:line="142" w:lineRule="exact"/>
        <w:rPr>
          <w:sz w:val="20"/>
          <w:szCs w:val="20"/>
          <w:color w:val="auto"/>
        </w:rPr>
      </w:pPr>
    </w:p>
    <w:p>
      <w:pPr>
        <w:ind w:left="120"/>
        <w:spacing w:after="0" w:line="255" w:lineRule="auto"/>
        <w:rPr>
          <w:sz w:val="20"/>
          <w:szCs w:val="20"/>
          <w:color w:val="auto"/>
        </w:rPr>
      </w:pPr>
      <w:r>
        <w:rPr>
          <w:rFonts w:ascii="Arial" w:cs="Arial" w:eastAsia="Arial" w:hAnsi="Arial"/>
          <w:sz w:val="17"/>
          <w:szCs w:val="17"/>
          <w:color w:val="auto"/>
        </w:rPr>
        <w:t>The Company concluded that the Moderna DT and Moderna RT programs are in the scope of ASC 606. The Company determined that the licenses granted to Moderna, and its participation in the joint steering committee are not capable of being distinct from the preclinical research and development services and therefore concluded that there are two performance obligations: (1) the Moderna RT program and</w:t>
      </w:r>
    </w:p>
    <w:p>
      <w:pPr>
        <w:spacing w:after="0" w:line="2" w:lineRule="exact"/>
        <w:rPr>
          <w:sz w:val="20"/>
          <w:szCs w:val="20"/>
          <w:color w:val="auto"/>
        </w:rPr>
      </w:pPr>
    </w:p>
    <w:p>
      <w:pPr>
        <w:ind w:left="120" w:right="100" w:hanging="4"/>
        <w:spacing w:after="0" w:line="250" w:lineRule="auto"/>
        <w:tabs>
          <w:tab w:leader="none" w:pos="39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Moderna DT program. The Company also concluded that the option to obtain an exclusive license and options to extend Moderna RT program term do not include significant incremental discounts, and as such, the options do not provide material rights.</w:t>
      </w:r>
    </w:p>
    <w:p>
      <w:pPr>
        <w:spacing w:after="0" w:line="91"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 xml:space="preserve">The Company concluded the DT Co-Co program research activities are within the scope of ASC 808, as the Company and Moderna are both active participants in the research, development and commercialization activities, are exposed to significant risks and rewards that are dependent on the success of the DT Co-Co program activities and share costs and profits equally. The Company determined that the guidance in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was appropriate to apply to the DT Co-Co program research activities by analogy, based on the nature of the cost sharing provisions of the agreement. The Company concluded that DT Co-Co program is one unit of accounting, as the co- exclusive license is not distinct from the research and development and the participation in joint steering committee activities. The Company recognizes payments to or from Moderna related to the DT Co-Co program cost sharing research activities as an increase to or reduction of research and development expenses, respectively.</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00"/>
          </w:cols>
          <w:pgMar w:left="320" w:top="455" w:right="47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Company concluded that the Moderna Collaboration Agreement and the Moderna Convertible Promissory Note Agreement should be combined and treated as a single arrangement for accounting purposes as the agreements were entered into contemporaneously and in contemplation of one another. The Company estimated the contract consideration to be $90.0 million, which consisted of: 1) the non-refundable upfront collaboration payment of $40.0 million received in 2021, 2) $30.0 million in cash received in 2021 in exchange for the convertible promissory note and 3) the estimated cost reimbursements for Moderna DT and Moderna RT programs of $20.0 million. The Company constrained future milestones, as it assessed that it is probable that the inclusion of such variable consideration could result in a significant reversal of cumulative revenue in future periods. During the year ended December 31, 2021, the Company recorded $30.0 million of the contract consideration for the convertible promissory note based on the fair value (see Note 9) and allocated the transaction price of $60.0 million to each of the following programs on a relative standalone selling price basis: 1) $49.5 million to the Moderna RT program, 2) $5.5 million to the Moderna DT program, and 3) $5.0 million to the DT Co-Co program.</w:t>
      </w:r>
    </w:p>
    <w:p>
      <w:pPr>
        <w:spacing w:after="0" w:line="112"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The variable consideration is reevaluated at each reporting period and as changes in circumstances occur. The Company recognizes revenue for each of the Moderna DT and Moderna RT programs as collaboration revenue based on the measure of progress using an estimated cost-based input method each reporting period. The Company also amortizes the allocation consideration for the DT Co-Co program of $5.0 million as a credit to research and development expenses during the discovery and lead optimization phases for the DT Co-Co program.</w:t>
      </w:r>
    </w:p>
    <w:p>
      <w:pPr>
        <w:spacing w:after="0" w:line="109" w:lineRule="exact"/>
        <w:rPr>
          <w:sz w:val="20"/>
          <w:szCs w:val="20"/>
          <w:color w:val="auto"/>
        </w:rPr>
      </w:pPr>
    </w:p>
    <w:p>
      <w:pPr>
        <w:ind w:left="120" w:right="200"/>
        <w:spacing w:after="0" w:line="242" w:lineRule="auto"/>
        <w:rPr>
          <w:sz w:val="20"/>
          <w:szCs w:val="20"/>
          <w:color w:val="auto"/>
        </w:rPr>
      </w:pPr>
      <w:r>
        <w:rPr>
          <w:rFonts w:ascii="Arial" w:cs="Arial" w:eastAsia="Arial" w:hAnsi="Arial"/>
          <w:sz w:val="18"/>
          <w:szCs w:val="18"/>
          <w:color w:val="auto"/>
        </w:rPr>
        <w:t>The Company recognized collaboration revenue of $0.2 million and $14.5 million in the consolidated statements of operations and comprehensive loss for the years ended December 31, 2021 and 2022, respectively. As of December 31, 2021 and 2022, deferred revenue related to Moderna was $39.7 million and $30.2 million, respectively. Collaboration revenue recognized during the year ended December 31, 2022 included $14.5 million that was included in deferred revenue as of December 31, 2021. The value of the transaction price allocated to the remaining unsatisfied portion of the performance obligations was approximately $41.9 million as of December 31, 2022, which the Company expects to recognize as revenue over the next three-to-four years.</w:t>
      </w:r>
    </w:p>
    <w:p>
      <w:pPr>
        <w:spacing w:after="0" w:line="98"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The Company recognized $0.2 million and $0.3 million in credits to research and development expenses related to cost sharing allocation and amortization of the collaboration advance, respectively, within research and development expenses in the consolidated statement of operations and comprehensive loss during the year ended December 31, 2021. The Company recognized $0.9 million and $3.5 million in credits to research and development expenses related to cost sharing allocation and amortization of the collaboration advance, respectively, during the year ended December 31, 2022. As of December 31, 2021, the collaboration advance balance was $ 4.7 million, partially offset by the cost-sharing receivable balance of $0.2 million, which was presented as a collaboration advance on the Company’s consolidated balance sheet. As of December 31, 2022, the collaboration advance balance was $1.1 million, partially offset by the cost-sharing receivable balance of $0.4 million, which was presented as a collaboration advance on the Company’s consolidated balance sheet.</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Affini-T development, option and license agreement</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Terms of the agreement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June 14, 2022, the effective date, the Company entered into a Development, Option and License Agreement (the “Affini-T Agreement”) with Affini-T. Pursuant to the Affini-T Agreement, the parties have agreed to identify, develop or optimize certain reagents using the Company’s proprietary technology for Affini-T to use such reagents to develop and commercialize gene edited T-cell receptor (“TCR”)-based therapeutic products exclusively in the field of treatment, prevention or diagnosis of any human cancer using products with any engineered primary TCR alpha/beta T cells and non-exclusively in the field of treatment, prevention or diagnosis of any human cancer using products with certain other engineered immune cells worldwide. A joint steering committee was established by both parties to assign alliance managers and project leaders to oversee the collaboration activities.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5" w:right="4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 xml:space="preserve">Pursuant to the Affini-T Agreement, the Company granted Affini-T options to receive, on a pre-specified target-by-pre-specified target basis, for up to six pre-specified targets, either (i) an exclusive, royalty-bearing, sublicensable worldwide license under all of the Company’s intellectual property to research, develop, manufacture, use, commercialize and otherwise exploit any TCR-based therapy, preventative treatment, or diagnostic for humans that is directed to such pre-specified target, contains or comprises Primary TCR alpha/beta T Cells and is derived from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application of a Company reagent (the “Exclusive Option”) or (ii) a non-exclusive, royalty-bearing, sublicensable worldwide license under all of the Company’s applicable intellectual property to research, develop, manufacture, use commercialize and otherwise exploit any TCR-based therapy, preventative treatment, or diagnostic for humans that is directed to such pre-specified target, contains or comprises TCR natural killer (“NK”) cells derived from iPSC immune cells or TCR T cells derived from donor-derived or iPSC immune cells. Affini-T can exercise its options for either an exclusive license or a non-exclusive license, or both, for each pre-specified target by providing written notice prior to the earlier of (x) the end of the Affini-T Agreement term or (y) 90 days following the filing of an IND for a licensed product directed to a pre-specified target, subject to the payment of certain fees per each option exercised. After the option exercise, Affini-T has agreed to use commercially reasonable efforts to conduct all development and commercialization activities for a licensed product, and development and commercialization of all licensed products will be at Affini-T’s sole cost and expense.</w:t>
      </w:r>
    </w:p>
    <w:p>
      <w:pPr>
        <w:spacing w:after="0" w:line="122"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In connection with the Affini-T Agreement, the Company received upfront equity consideration of 719,920 shares of Affini-T’s common stock with an estimated fair value of $1.3 million in June 2022. The fair value of Affini-T’s shares of common stock was estimated by the Company’s management, considering the most recent third-party valuation. Affini-T has also agreed to reimburse the Company for expenses incurred while performing research activities under the research plans. Additionally, the Company is eligible to receive (i) 933,650 shares of Affini-T’s common stock upon the achievement of a regulatory milestone, (ii) up to $18.8 million in future developmental milestone payments and $40.6 million in future regulatory milestone payments for all licensed products directed to a pre-specified target if options for both exclusive and non-exclusive licenses are exercised with respect to such target, (iii) up to $250.0 million in sales-based milestones for aggregate sales of all licensed products directed to a given pre-specified target and (iv) royalties ranging from a low-single digit to high-single digit percentage of worldwide annual net sales of licensed products.</w:t>
      </w:r>
    </w:p>
    <w:p>
      <w:pPr>
        <w:spacing w:after="0" w:line="116"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The initial term of the Affini-T Agreement is five years from the effective date. If Affini-T exercises an Exclusive Option with respect to any pre-specified target during the initial term, the initial term will be extended by an additional five years. Following the expiration of the extended term, if any, the agreement will continue on a target-by-target basis and expire with respect to such target upon the expiration of the royalty term for all licensed products directed to such target. The Affini-T Agreement may be terminated during the term by either party for an uncured material breach by, or bankruptcy of, the other party. Additionally, Affini-T may terminate the Affini-T Agreement for convenience, in its entirety, on a research plan-by-research plan basis, on a target-by-target basis or on a licensed product-by-licensed product basis, by providing prior written notice.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analysis and revenue recognition</w:t>
      </w:r>
    </w:p>
    <w:p>
      <w:pPr>
        <w:spacing w:after="0" w:line="142"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The Company concluded that the Affini-T Agreement is in the scope of ASC 606 and that there is one performance obligation to perform research activities under the Affini-T Agreement. Exclusive and non-exclusive licenses are optional contingent purchases that do not include significant incremental discounts, and therefore do not provide a material right.</w:t>
      </w:r>
    </w:p>
    <w:p>
      <w:pPr>
        <w:spacing w:after="0" w:line="88" w:lineRule="exact"/>
        <w:rPr>
          <w:sz w:val="20"/>
          <w:szCs w:val="20"/>
          <w:color w:val="auto"/>
        </w:rPr>
      </w:pPr>
    </w:p>
    <w:p>
      <w:pPr>
        <w:ind w:left="120" w:right="380"/>
        <w:spacing w:after="0" w:line="253" w:lineRule="auto"/>
        <w:rPr>
          <w:sz w:val="20"/>
          <w:szCs w:val="20"/>
          <w:color w:val="auto"/>
        </w:rPr>
      </w:pPr>
      <w:r>
        <w:rPr>
          <w:rFonts w:ascii="Arial" w:cs="Arial" w:eastAsia="Arial" w:hAnsi="Arial"/>
          <w:sz w:val="18"/>
          <w:szCs w:val="18"/>
          <w:color w:val="auto"/>
        </w:rPr>
        <w:t>At the effective date, the transaction price consisted of the upfront equity consideration with an estimated fair value of $1.3 million and estimated research reimbursement costs. Research reimbursement costs represent variable consideration, and the Company’s management estimates what portion to include in total</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5" w:right="45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consideration at the end of each reporting period. Other payments under the Affini-T Agreement, including additional equity consideration and development and regulatory milestones, also represent variable consideration, and are constrained to the extent that the inclusion of such variable consideration could result in a significant reversal of cumulative revenue in future periods. As of December 31, 2022, additional equity consideration and future development and regulatory milestone payments were excluded from the estimated total transaction price as they were considered constrained. The transaction price is reevaluated in each reporting period and as changes in circumstances occur. The Company recognizes revenue each reporting period based on the measure of progress using an estimated cost-based input method.</w:t>
      </w:r>
    </w:p>
    <w:p>
      <w:pPr>
        <w:spacing w:after="0" w:line="117"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The Company recognized $2.6 million in collaboration revenue in the consolidated statements of operations and comprehensive loss during the year ended December 31, 2022. As of December 31, 2022, the Company recorded $1.3 million in contract assets on the consolidated balance sheet, related to services performed but not invoiced. There was no deferred revenue related to the Affini-T Agreement as of December 31, 2022. The value of the transaction price allocated to the remaining unsatisfied portion of the performance obligation was approximately $ 8.0 million as of December 31, 2022, which the Company expects to recognize as revenue over the next five-to-six years. In June 2023, the joint steering committee approved the budget for estimated research reimbursement costs for the Affini-T Agreement, which resulted in a $2.4 million reduction to variable consideration.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Ionis collaboration and license agreement</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Terms of the agreement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On November 10, 2022, the effective date, the Company entered into a Collaboration and License Agreement (the “Ionis Agreement”) with Ionis Pharmaceuticals, Inc. (“Ionis”) to collaborate on drug discovery and exploratory research activities to advance new medicines using gene editing strategies, with the goal of discovering novel medicines. Pursuant to the terms of the Ionis Agreement, the Company granted Ionis and its affiliates a worldwide exclusive, royalty-bearing license, with the right to grant sublicenses, to use all licensed systems and licensed products in the field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editing for all therapeutic, prophylactic, palliative, and analgesic uses in humans. In connection with the Ionis Agreement, the Company also has the right to exercise an exclusive option to co-develop and co-commercialize certain products under a drug discovery program. A joint steering committee was established by both parties to coordinate, oversee, and monitor the research and drug discovery activities under the Ionis Agreement.</w:t>
      </w:r>
    </w:p>
    <w:p>
      <w:pPr>
        <w:spacing w:after="0" w:line="99"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The parties will collaborate to discover therapeutic products under a drug discovery program and develop a drug discovery plan for each target, selected by Ionis. The target selection is divided into two waves: up to four targets in Wave 1 and up to four targets in Wave 2. For each drug discovery program, once the parties identify a development candidate that is suitable for further development, Ionis will be responsible for the development and commercialization of products resulting from such program. Per the terms of the Ionis Agreement, at any time prior to the designation of a development candidate for a drug discovery program and for any reason, Ionis may replace the collaboration target, provided such target has not previously been substituted out. Ionis may substitute (i) up to two Wave 1 targets and (ii) up to two Wave 2 targets.</w:t>
      </w:r>
    </w:p>
    <w:p>
      <w:pPr>
        <w:spacing w:after="0" w:line="117"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The drug discovery activities for a program commence on the selection of a target and expire upon the earlier of (a) completion of all drug discovery activities for such program, (b) the fifth anniversary of the effective date and (c) selection of a development candidate for such drug discovery program. If one or more Wave 2 targets become collaboration targets as a result of the parties achieving enabled delivery and less than two years are remaining in the drug discovery term, then the term will be extended to the earlier of (i) the time that the Company completes all of its activities under the applicable drug discovery plan and (ii) the seventh anniversary of the effective date, subject to the Company’s consent.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5" w:right="47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The parties will also conduct an exploratory research program, and will jointly optimize gRNA and select delivery technologies and other activities. The exploratory research activities commence on the effective date and expire upon the earlier of (a) completion of all exploratory research activities established in the exploratory research plan, and (b) the fifth anniversary of the effective date.</w:t>
      </w:r>
    </w:p>
    <w:p>
      <w:pPr>
        <w:spacing w:after="0" w:line="10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Company has the exclusive option to co-develop and co-commercialize the licensed products under a drug discovery program (the “Co-Co Option”) with Ionis. The Co-Co Option may be exercised for (a) the initial Wave 1 target (“Target 1”), (b) no more than one of the other three discovery programs for the Wave 1 targets, and (c) no more than two drug discovery programs for the Wave 2 targets that become collaboration targets. If the Company exercises the Co-Co Option for a particular drug discovery program, that drug discovery program will automatically be deemed a “Co-Co Program”, all corresponding licensed products be deemed “Co-Co Products,” the Company will be obligated to pay Ionis an option exercise fee, and the parties will enter into a separate co-development and co-commercialization agreement. The Co-Co Option exercise fee will equal 50% of Ionis’ internal costs and out-of-pocket costs incurred in the conduct of the drug discovery activities prior to the exercise of the Co-Co Option and be reduced by 50% of the Company’s corresponding costs incurred. Future development and commercialization costs will be shared equally. The Company may elect to reduce its cost-share percentage anywhere between 50% and 25% on a go-forward basis, provided the Company will continue to bear 50% of the costs of any clinical trials ongoing at the time of the election through the completion of the clinical trials.</w:t>
      </w:r>
    </w:p>
    <w:p>
      <w:pPr>
        <w:spacing w:after="0" w:line="118" w:lineRule="exact"/>
        <w:rPr>
          <w:sz w:val="20"/>
          <w:szCs w:val="20"/>
          <w:color w:val="auto"/>
        </w:rPr>
      </w:pPr>
    </w:p>
    <w:p>
      <w:pPr>
        <w:jc w:val="both"/>
        <w:ind w:left="120" w:right="100"/>
        <w:spacing w:after="0" w:line="275" w:lineRule="auto"/>
        <w:rPr>
          <w:sz w:val="20"/>
          <w:szCs w:val="20"/>
          <w:color w:val="auto"/>
        </w:rPr>
      </w:pPr>
      <w:r>
        <w:rPr>
          <w:rFonts w:ascii="Arial" w:cs="Arial" w:eastAsia="Arial" w:hAnsi="Arial"/>
          <w:sz w:val="17"/>
          <w:szCs w:val="17"/>
          <w:color w:val="auto"/>
        </w:rPr>
        <w:t>The Company will manufacture all licensed systems and certain components of the applicable licensed products that are needed by Ionis for use in its development activities and all of the Company’s manufactured components needed by Ionis for use in its commercialization activities. The Company will provide the manufactured components at a price that represents the cost of goods plus 15%.</w:t>
      </w:r>
    </w:p>
    <w:p>
      <w:pPr>
        <w:spacing w:after="0" w:line="7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 xml:space="preserve">Pursuant to the terms of the Ionis Agreement, the Company has also been granted an option to obtain a non-exclusive, royalty-bearing license, with the right to grant sublicenses, for certain Ionis’ background technology to use in up to eight therapeutic products discovered by the Company in the field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editing and directed to a Collaboration Target (each such product, a “Metagenomi Product” and each such option an “Ionis IP Option”), but subject to encumbrance checks with respect to particular targets. A Collaboration Target is a target that is selected by Ionis, and, with respect to the Company is not the subject of discussions with a third party, is not the subject of a contractual grant of rights to a third party nor the subject of a Company bona fide research and development program. If the Company exercises its Ionis IP Option, the Company will pay to Ionis up to several million dollars per Metagenomi Product upon achievement of certain clinical and regulatory milestones. The Company is also obligated to pay Ionis royalties in an amount equal to a low single-digit royalty on the net sales of the applicable Metagenomi Product on product-by-product and country-by-country basis.</w:t>
      </w:r>
    </w:p>
    <w:p>
      <w:pPr>
        <w:spacing w:after="0" w:line="116"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In November 2022, the Company received an $80.0 million upfront payment from Ionis for the Wave 1 drug discovery research collaboration and selected Target 1. Ionis selected its second target (“Target 2”) in Wave 1 in December 2022, and will select two final additional Wave 1 targets (“Target 3” and “Target 4”) within the 12 months from the effective date, as permitted under the arrangement. Ionis has an option to select up to four Wave 2 targets at any time during the drug discovery term, if (a) an IND for any licensed product directed to a Wave 1 target is filed with the applicable regulatory authority or (b) the parties achieve enabled delivery for a non-liver target under the exploratory research activities, by providing written notice and by paying a Wave 2 target selection fee of $15.0 million or $30.0 million, depending on and per the selected target.</w:t>
      </w:r>
    </w:p>
    <w:p>
      <w:pPr>
        <w:spacing w:after="0" w:line="117"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color w:val="auto"/>
        </w:rPr>
        <w:t>Ionis is obligated to reimburse the Company for all internal costs and out-of-pocket costs incurred in the performance of the exploratory research activities, up to an aggregate of $10.0 million, and is payable in quarterly installments of $0.5 million during the exploratory research term. The Company is also eligible to</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00"/>
          </w:cols>
          <w:pgMar w:left="320" w:top="455" w:right="47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receive (a) up to $29.0 million in future development milestone payments for each licensed product; (b) up to $60.0 million in future regulatory milestone payments for each licensed product; (c) up to $250.0 million in sales-based milestones for each licensed product; and (d) royalties on annual net sales of licensed products from a mid-single-digit to low-teens percentage, subject to customary reductions.</w:t>
      </w:r>
    </w:p>
    <w:p>
      <w:pPr>
        <w:spacing w:after="0" w:line="84"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 term of the Ionis Agreement will continue until (i) with respect to the drug discovery programs, until the expiration of all applicable royalty terms for a licensed product, (ii) with respect to the Co-Co Programs, until the parties cease all exploitation for the Co-Co Products that are the subject to such Co-Co Program, and (iii) with respect to the Metagenomi Products, until the expiration of the royalty term for a Metagenomi Product. The royalty term ends on the latest of the following two dates: (i) the expiration of (A) the last claim of any issued and unexpired patent, or (B) a claim within a patent application that has not been pending for more than seven years from the earliest date to which the claim or applicable patent application is entitled to claim priority and which claim has not been revoked, cancelled, withdrawn, held invalid, or abandoned, or (ii) 12 years following the first commercial sale of a licensed product.</w:t>
      </w:r>
    </w:p>
    <w:p>
      <w:pPr>
        <w:spacing w:after="0" w:line="117"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The Ionis Agreement may be terminated during the term by either party for an uncured material breach or bankruptcy by the other party. Additionally, Ionis may terminate the Ionis Agreement for convenience and without penalty, in its entirety or on a licensed product-by-licensed product basis, by providing 90 days’ written notice.</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analysis and revenue recognition</w:t>
      </w:r>
    </w:p>
    <w:p>
      <w:pPr>
        <w:spacing w:after="0" w:line="142"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The Company concluded that the Ionis Agreement is in the scope of ASC 606 at the effective date and until the Company exercises its Co-Co Option for any drug discovery program, which was determined to not be probable at the effective date and as of December 31, 2022. The Company also concluded that exclusive licenses and participation in a joint steering committee are not distinct from discovery research services and should thus be combined into one performance obligation (the “discovery program”). The Company also concluded that exploratory research services are a separate and distinct performance obligation (the “exploratory program”). As the Ionis options for Wave 2 targets are optional purchases and do not have significant incremental discounts, as such, the options do not provide material rights.</w:t>
      </w:r>
    </w:p>
    <w:p>
      <w:pPr>
        <w:spacing w:after="0" w:line="10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Company allocated the total estimated transaction price of $90.0 million, which consisted of an $80.0 million upfront payment received in November 2022 and a $ 10.0 million reimbursement for research costs, into two performance obligations, and was determined based on their estimated standalone selling prices. The Company concluded that future development and commercial supply agreements are at market terms, as the terms were consistent with industry standards as of the effective date. The Company constrains future milestone payments under the arrangement to the extent the inclusion of such variable consideration could result in a significant reversal of cumulative revenue in future periods. The Company constrained all development and regulatory milestone payments at the effective date and as of December 31, 2022. The Company is recognizing revenue of $80.0 million related to the discovery program and of $ 10.0 million related to exploratory program over the research terms using an estimated cost-based input method as a measure of progress for each obligation.</w:t>
      </w:r>
    </w:p>
    <w:p>
      <w:pPr>
        <w:spacing w:after="0" w:line="116"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The Company recognized $0.1 million in collaboration revenue in the consolidated statements of operations and comprehensive loss during the year ended December 31, 2022. As of December 31, 2022, deferred revenue related to the Ionis Agreement was $79.9 million. The value of the transaction price allocated to the remaining performance obligations was approximately $89.9 million as of December 31, 2022, which the Company expects to recognize as revenue over the next five-to-six years.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8. Cystic fibrosis foundation grant income</w:t>
      </w:r>
    </w:p>
    <w:p>
      <w:pPr>
        <w:spacing w:after="0" w:line="148"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In April 2021, the Company received an award of $0.6 million to finance a development program (the “CFF Grant Letter”), to discover and use novel gene-editing systems to correct cystic fibrosis transmembrane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5" w:right="45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conductance regulator mutations, from Cystic Fibrosis Foundation (“CFF”), a non-profit organization. In accordance with CFF Grant Letter, the Company received $0.4 million upon initiation of the development program in June 2021 and expects to receive $0.2 million upon the program completion in 2023 fiscal year. The award was provided to the Company without a provision for financial return to CFF. However, in the event that CFF provides additional funding to the Company, pursuant to a separate agreement between CFF and the Company (a “Future Funding Agreement”), CFF may receive royalty rights, an equity interest, a debt instrument or other consideration of economic value that is based on the amount of funding CFF has provided to the Company, the award amount actually paid to the Company under the current award will be treated as an advance towards, and included in, the award amount, investment amount, principal amount or other similar term representing the amount of funding provided by CFF to the Company under the Future Funding Agreement. The Company does not expect to receive any future funding from CFF and concluded that funds received are non-refundable. The Company recognized $0.2 million and $0.3 million related to the progress of a development program during the years ended December 31, 2021 and 2022, respectively, as other income (expense), net, in the consolidated statements of operations and comprehensive loss, as this grant is not considered an ongoing major and central operation of the Company’s business. The Company recognized $0.2 million and zero of deferred grant income in accrued expenses and other current liabilities in the consolidated balance sheet as of December 31, 2021 and December 31, 2022, respectively. The Company recognized $0.1 million of grant income receivable in prepaid expenses and other current assets in the consolidated balance sheets as of December 31, 2022.</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9. Convertible promissory note</w:t>
      </w:r>
    </w:p>
    <w:p>
      <w:pPr>
        <w:spacing w:after="0" w:line="135"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In October 2021, together with the Moderna Agreement, the Company issued a convertible promissory note for $30.0 million to Moderna with 6.0% annual interest payable upon the note maturity in April 2023. The Company cannot prepay the convertible promissory note without Moderna’s consent. The outstanding principal amount and any unpaid accrued interest is automatically convertible into redeemable convertible preferred units sold in a private financing with total gross cash proceeds of not less than $50.0 million (the “Qualified Financing”) at a conversion price equal to the purchase price per unit that depends on the timing of the qualified financing: i) 100% of the lowest price paid per unit by investors in the qualified financing, if the qualified financing occurs within three months from the note issuance date; ii) 95% of the lowest price paid per unit by investors in the qualified financing, if the qualified financing occurs between three and six months from the note issuance date; iii) 90% of the lowest price paid per unit by investors in the qualified financing, if the qualified financing occurs between six and twelve months from the note issuance date; iv) 85% of the lowest price paid per unit by investors in the qualified financing, if the qualified financing occurs after twelve months from the note issuance date.</w:t>
      </w:r>
    </w:p>
    <w:p>
      <w:pPr>
        <w:spacing w:after="0" w:line="11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Moderna also had an option to convert the note on similar terms in the event of a non-qualified financing using the conversion price upon a qualified financing. Upon maturity, the outstanding principal and accrued interest is either due and payable in full or converted in the Series A-5 redeemable convertible preferred units (or the most senior redeemable convertible preferred units of the Company then outstanding) at a conversion price equal to the original issue price of the Series A-5 redeemable convertible preferred units (or the most senior units of the Company then outstanding). Principal and accrued interest of the note were payable in cash in an event of default. In a deemed liquidation event the outstanding principal and accrued and unpaid interest is either due and payable in full, plus 50% on the outstanding principal amount of the note or were convertible into the common units of the Company at a conversion price equal to the original issue price of the Series A-5 redeemable convertible preferred units (or the most senior units of the Company then outstanding). In the event that the Company closes its initial public offering of its common units or common stock or other equity securities with total gross proceeds of not less than $ 50.0 million (“Qualified IPO”), the principal and unpaid accrued interest then outstanding is convertible automatically into the same type of the Company’s securities issued upon IPO at 90% of the lowest purchase price paid per equity securities in the Qualified IPO.</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55" w:right="4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convertible promissory note is carried at amortized cost, which management estimates approximates its fair value. On the issuance date of the convertible promissory note, the Company concluded that certain embedded unit-settled conversion put features, qualified IPO features and deemed liquidation put features were derivatives that required bifurcation. The Company estimated the fair value of embedded derivatives was minimal due to the low probability of settlement events for these features. The Company recognized $34,000 of issuance costs as a debt discount related to legal fees, which was amortized to interest expense over the term of the note using effective interest method. The Company recognized $0.3 million and $0.1 million of accrued interest expense in the consolidated statements of operations and comprehensive loss for the years ended December 31, 2021 and 2022, respectively.</w:t>
      </w:r>
    </w:p>
    <w:p>
      <w:pPr>
        <w:spacing w:after="0" w:line="117"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color w:val="auto"/>
        </w:rPr>
        <w:t>The convertible promissory note and all accrued interest were converted, upon the Qualified Financing, into 2,607,387 Series B redeemable convertible preferred units without any discount in January 2022 (see Note 11) and no gain or loss was recognized on the conversion.</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10. Commitments and contingent liabilities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42"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In November 2019, the Company entered into a 5-year operating lease for laboratory and office space in Emeryville, California. In conjunction with signing the lease, the Company secured a letter of credit in favor of the lessor in the amount of $0.2 million. The lease agreement includes a renewal provision allowing the Company to extend this lease for an additional 5 years at the prevailing rental rate, which the Company was not reasonably certain to exercise. In addition to base rent, the Company was obligated to pay variable costs related to its share of operating expenses and taxes as well as parking fees for unreserved parking spaces in a shared lot. In March 2021, this lease was modified to shorten the lease term to terminate in April 2021. Lease payments made related to this lease in 2021 totaled $0.1 million. In May 2021, the letter of credit related to this lease was canceled.</w:t>
      </w:r>
    </w:p>
    <w:p>
      <w:pPr>
        <w:spacing w:after="0" w:line="104" w:lineRule="exact"/>
        <w:rPr>
          <w:sz w:val="20"/>
          <w:szCs w:val="20"/>
          <w:color w:val="auto"/>
        </w:rPr>
      </w:pPr>
    </w:p>
    <w:p>
      <w:pPr>
        <w:ind w:left="120" w:right="120"/>
        <w:spacing w:after="0" w:line="261" w:lineRule="auto"/>
        <w:rPr>
          <w:sz w:val="20"/>
          <w:szCs w:val="20"/>
          <w:color w:val="auto"/>
        </w:rPr>
      </w:pPr>
      <w:r>
        <w:rPr>
          <w:rFonts w:ascii="Arial" w:cs="Arial" w:eastAsia="Arial" w:hAnsi="Arial"/>
          <w:sz w:val="17"/>
          <w:szCs w:val="17"/>
          <w:color w:val="auto"/>
        </w:rPr>
        <w:t>In January 2021, the Company entered into a ten-year operating lease for laboratory and office space in Emeryville, California. The lease commencement date was in February 2021. In conjunction with signing this lease, the Company secured a letter of credit for $3.3 million, which is recorded as noncurrent restricted cash in the consolidated balance sheets. The lease agreement includes a renewal provision allowing the Company to extend this lease for an additional five years, which the Company is not reasonably certain to exercise. In addition to base rent, the Company pays variable costs related to operating expenses and taxes, which are recognized as incurred.</w:t>
      </w:r>
    </w:p>
    <w:p>
      <w:pPr>
        <w:spacing w:after="0" w:line="98"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In September 2021, the Company entered into a 9.25-year operating lease for office space in Emeryville, California, with a lease commencement date in November 2021. In conjunction with signing the lease, the Company secured a letter of credit for $0.8 million, which is recorded as noncurrent restricted cash in the consolidated balance sheets. In addition to base rent, the Company will pay variable costs related to operating expenses and taxes, which are recognized as incurred.</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November 2022, the Company entered into an 8.25-year sublease for office, research and laboratory space in Emeryville, California,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 lease commencement date in January 2023. In conjunction with signing the lease, the Company secured a letter of credit for</w:t>
      </w:r>
    </w:p>
    <w:p>
      <w:pPr>
        <w:ind w:left="120"/>
        <w:spacing w:after="0" w:line="234" w:lineRule="auto"/>
        <w:rPr>
          <w:sz w:val="20"/>
          <w:szCs w:val="20"/>
          <w:color w:val="auto"/>
        </w:rPr>
      </w:pPr>
      <w:r>
        <w:rPr>
          <w:rFonts w:ascii="Arial" w:cs="Arial" w:eastAsia="Arial" w:hAnsi="Arial"/>
          <w:sz w:val="18"/>
          <w:szCs w:val="18"/>
          <w:color w:val="auto"/>
        </w:rPr>
        <w:t>$2.0 million, which is recorded as restricted cash in the consolidated balance sheet as of December 31, 2022. Payments for base rent</w:t>
      </w:r>
    </w:p>
    <w:p>
      <w:pPr>
        <w:ind w:left="120"/>
        <w:spacing w:after="0" w:line="235" w:lineRule="auto"/>
        <w:rPr>
          <w:sz w:val="20"/>
          <w:szCs w:val="20"/>
          <w:color w:val="auto"/>
        </w:rPr>
      </w:pPr>
      <w:r>
        <w:rPr>
          <w:rFonts w:ascii="Arial" w:cs="Arial" w:eastAsia="Arial" w:hAnsi="Arial"/>
          <w:sz w:val="18"/>
          <w:szCs w:val="18"/>
          <w:color w:val="auto"/>
        </w:rPr>
        <w:t>required under this lease are expected to total approximately $49.3 million over the term, of which $2.9 million is payable within the 12</w:t>
      </w:r>
    </w:p>
    <w:p>
      <w:pPr>
        <w:ind w:left="120"/>
        <w:spacing w:after="0" w:line="235" w:lineRule="auto"/>
        <w:rPr>
          <w:sz w:val="20"/>
          <w:szCs w:val="20"/>
          <w:color w:val="auto"/>
        </w:rPr>
      </w:pPr>
      <w:r>
        <w:rPr>
          <w:rFonts w:ascii="Arial" w:cs="Arial" w:eastAsia="Arial" w:hAnsi="Arial"/>
          <w:sz w:val="18"/>
          <w:szCs w:val="18"/>
          <w:color w:val="auto"/>
        </w:rPr>
        <w:t>months. In addition to base rent, the Company will pay variable costs related to its share of operating expenses and taxes. As this lease</w:t>
      </w:r>
    </w:p>
    <w:p>
      <w:pPr>
        <w:ind w:left="120"/>
        <w:spacing w:after="0"/>
        <w:rPr>
          <w:sz w:val="20"/>
          <w:szCs w:val="20"/>
          <w:color w:val="auto"/>
        </w:rPr>
      </w:pPr>
      <w:r>
        <w:rPr>
          <w:rFonts w:ascii="Arial" w:cs="Arial" w:eastAsia="Arial" w:hAnsi="Arial"/>
          <w:sz w:val="18"/>
          <w:szCs w:val="18"/>
          <w:color w:val="auto"/>
        </w:rPr>
        <w:t>has not yet commenced as of December 31, 2022, no right-of use asset or lease liability is recorded.</w:t>
      </w:r>
    </w:p>
    <w:p>
      <w:pPr>
        <w:spacing w:after="0" w:line="113"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color w:val="auto"/>
        </w:rPr>
        <w:t>Operating lease cost for the years ended December 31, 2021 and 2022, totaled $2.2 million and $3.5 million, respectively, including $0.5 million and $0.4 million of variable lease cost, respectively.</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5" w:right="45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Supplemental information related to the Company’s operating leases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440" w:type="dxa"/>
            <w:vAlign w:val="bottom"/>
          </w:tcPr>
          <w:p>
            <w:pPr>
              <w:spacing w:after="0"/>
              <w:rPr>
                <w:sz w:val="16"/>
                <w:szCs w:val="16"/>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Years ended</w:t>
            </w:r>
          </w:p>
        </w:tc>
      </w:tr>
      <w:tr>
        <w:trPr>
          <w:trHeight w:val="203"/>
        </w:trPr>
        <w:tc>
          <w:tcPr>
            <w:tcW w:w="9440" w:type="dxa"/>
            <w:vAlign w:val="bottom"/>
          </w:tcPr>
          <w:p>
            <w:pPr>
              <w:spacing w:after="0"/>
              <w:rPr>
                <w:sz w:val="17"/>
                <w:szCs w:val="17"/>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9440" w:type="dxa"/>
            <w:vAlign w:val="bottom"/>
            <w:tcBorders>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55"/>
              <w:spacing w:after="0" w:line="183" w:lineRule="exact"/>
              <w:rPr>
                <w:sz w:val="20"/>
                <w:szCs w:val="20"/>
                <w:color w:val="auto"/>
              </w:rPr>
            </w:pPr>
            <w:r>
              <w:rPr>
                <w:rFonts w:ascii="Arial" w:cs="Arial" w:eastAsia="Arial" w:hAnsi="Arial"/>
                <w:sz w:val="16"/>
                <w:szCs w:val="16"/>
                <w:b w:val="1"/>
                <w:bCs w:val="1"/>
                <w:color w:val="auto"/>
              </w:rPr>
              <w:t>2021</w:t>
            </w: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5"/>
                <w:szCs w:val="15"/>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760" w:type="dxa"/>
            <w:vAlign w:val="bottom"/>
            <w:shd w:val="clear" w:color="auto" w:fill="CCEEFF"/>
          </w:tcPr>
          <w:p>
            <w:pPr>
              <w:jc w:val="right"/>
              <w:ind w:right="55"/>
              <w:spacing w:after="0" w:line="196" w:lineRule="exact"/>
              <w:rPr>
                <w:sz w:val="20"/>
                <w:szCs w:val="20"/>
                <w:color w:val="auto"/>
              </w:rPr>
            </w:pPr>
            <w:r>
              <w:rPr>
                <w:rFonts w:ascii="Arial" w:cs="Arial" w:eastAsia="Arial" w:hAnsi="Arial"/>
                <w:sz w:val="18"/>
                <w:szCs w:val="18"/>
                <w:color w:val="auto"/>
                <w:w w:val="99"/>
              </w:rPr>
              <w:t>$ 1,453</w:t>
            </w:r>
          </w:p>
        </w:tc>
        <w:tc>
          <w:tcPr>
            <w:tcW w:w="8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$ 2,158</w:t>
            </w:r>
          </w:p>
        </w:tc>
      </w:tr>
      <w:tr>
        <w:trPr>
          <w:trHeight w:val="203"/>
        </w:trPr>
        <w:tc>
          <w:tcPr>
            <w:tcW w:w="9440" w:type="dxa"/>
            <w:vAlign w:val="bottom"/>
          </w:tcPr>
          <w:p>
            <w:pPr>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7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9.1</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8.1</w:t>
            </w:r>
          </w:p>
        </w:tc>
      </w:tr>
      <w:tr>
        <w:trPr>
          <w:trHeight w:val="203"/>
        </w:trPr>
        <w:tc>
          <w:tcPr>
            <w:tcW w:w="9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Weighted-average discount rate</w:t>
            </w:r>
          </w:p>
        </w:tc>
        <w:tc>
          <w:tcPr>
            <w:tcW w:w="760" w:type="dxa"/>
            <w:vAlign w:val="bottom"/>
            <w:tcBorders>
              <w:bottom w:val="single" w:sz="8" w:color="auto"/>
            </w:tcBorders>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10.1%</w:t>
            </w:r>
          </w:p>
        </w:tc>
        <w:tc>
          <w:tcPr>
            <w:tcW w:w="82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10.1%</w:t>
            </w:r>
          </w:p>
        </w:tc>
      </w:tr>
    </w:tbl>
    <w:p>
      <w:pPr>
        <w:spacing w:after="0" w:line="130"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The following table summarizes a maturity analysis of the Company’s operating lease liabilities showing the aggregate lease payments as of December 31, 2022 (in thousands):</w:t>
      </w:r>
    </w:p>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102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3,279</w:t>
            </w:r>
          </w:p>
        </w:tc>
      </w:tr>
      <w:tr>
        <w:trPr>
          <w:trHeight w:val="203"/>
        </w:trPr>
        <w:tc>
          <w:tcPr>
            <w:tcW w:w="10220" w:type="dxa"/>
            <w:vAlign w:val="bottom"/>
          </w:tcPr>
          <w:p>
            <w:pPr>
              <w:ind w:left="180"/>
              <w:spacing w:after="0" w:line="202" w:lineRule="exact"/>
              <w:rPr>
                <w:sz w:val="20"/>
                <w:szCs w:val="20"/>
                <w:color w:val="auto"/>
              </w:rPr>
            </w:pPr>
            <w:r>
              <w:rPr>
                <w:rFonts w:ascii="Arial" w:cs="Arial" w:eastAsia="Arial" w:hAnsi="Arial"/>
                <w:sz w:val="18"/>
                <w:szCs w:val="18"/>
                <w:color w:val="auto"/>
              </w:rPr>
              <w:t>2024</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3,122</w:t>
            </w:r>
          </w:p>
        </w:tc>
      </w:tr>
      <w:tr>
        <w:trPr>
          <w:trHeight w:val="203"/>
        </w:trPr>
        <w:tc>
          <w:tcPr>
            <w:tcW w:w="10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3,216</w:t>
            </w:r>
          </w:p>
        </w:tc>
      </w:tr>
      <w:tr>
        <w:trPr>
          <w:trHeight w:val="203"/>
        </w:trPr>
        <w:tc>
          <w:tcPr>
            <w:tcW w:w="10220" w:type="dxa"/>
            <w:vAlign w:val="bottom"/>
          </w:tcPr>
          <w:p>
            <w:pPr>
              <w:ind w:left="180"/>
              <w:spacing w:after="0" w:line="202" w:lineRule="exact"/>
              <w:rPr>
                <w:sz w:val="20"/>
                <w:szCs w:val="20"/>
                <w:color w:val="auto"/>
              </w:rPr>
            </w:pPr>
            <w:r>
              <w:rPr>
                <w:rFonts w:ascii="Arial" w:cs="Arial" w:eastAsia="Arial" w:hAnsi="Arial"/>
                <w:sz w:val="18"/>
                <w:szCs w:val="18"/>
                <w:color w:val="auto"/>
              </w:rPr>
              <w:t>2026</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3,313</w:t>
            </w:r>
          </w:p>
        </w:tc>
      </w:tr>
      <w:tr>
        <w:trPr>
          <w:trHeight w:val="203"/>
        </w:trPr>
        <w:tc>
          <w:tcPr>
            <w:tcW w:w="10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3,412</w:t>
            </w:r>
          </w:p>
        </w:tc>
      </w:tr>
      <w:tr>
        <w:trPr>
          <w:trHeight w:val="210"/>
        </w:trPr>
        <w:tc>
          <w:tcPr>
            <w:tcW w:w="10220" w:type="dxa"/>
            <w:vAlign w:val="bottom"/>
          </w:tcPr>
          <w:p>
            <w:pPr>
              <w:ind w:left="180"/>
              <w:spacing w:after="0" w:line="202" w:lineRule="exact"/>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10,862</w:t>
            </w:r>
          </w:p>
        </w:tc>
        <w:tc>
          <w:tcPr>
            <w:tcW w:w="120" w:type="dxa"/>
            <w:vAlign w:val="bottom"/>
          </w:tcPr>
          <w:p>
            <w:pPr>
              <w:spacing w:after="0"/>
              <w:rPr>
                <w:sz w:val="18"/>
                <w:szCs w:val="18"/>
                <w:color w:val="auto"/>
              </w:rPr>
            </w:pPr>
          </w:p>
        </w:tc>
      </w:tr>
      <w:tr>
        <w:trPr>
          <w:trHeight w:val="203"/>
        </w:trPr>
        <w:tc>
          <w:tcPr>
            <w:tcW w:w="10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future lease payments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27,204</w:t>
            </w:r>
          </w:p>
        </w:tc>
      </w:tr>
      <w:tr>
        <w:trPr>
          <w:trHeight w:val="209"/>
        </w:trPr>
        <w:tc>
          <w:tcPr>
            <w:tcW w:w="10220" w:type="dxa"/>
            <w:vAlign w:val="bottom"/>
          </w:tcPr>
          <w:p>
            <w:pPr>
              <w:ind w:left="180"/>
              <w:spacing w:after="0" w:line="202" w:lineRule="exact"/>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(8,633)</w:t>
            </w:r>
          </w:p>
        </w:tc>
      </w:tr>
      <w:tr>
        <w:trPr>
          <w:trHeight w:val="203"/>
        </w:trPr>
        <w:tc>
          <w:tcPr>
            <w:tcW w:w="10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lease liability balance(1)</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18,571</w:t>
            </w:r>
          </w:p>
        </w:tc>
        <w:tc>
          <w:tcPr>
            <w:tcW w:w="120" w:type="dxa"/>
            <w:vAlign w:val="bottom"/>
            <w:shd w:val="clear" w:color="auto" w:fill="CCEEFF"/>
          </w:tcPr>
          <w:p>
            <w:pPr>
              <w:spacing w:after="0"/>
              <w:rPr>
                <w:sz w:val="17"/>
                <w:szCs w:val="17"/>
                <w:color w:val="auto"/>
              </w:rPr>
            </w:pPr>
          </w:p>
        </w:tc>
      </w:tr>
      <w:tr>
        <w:trPr>
          <w:trHeight w:val="209"/>
        </w:trPr>
        <w:tc>
          <w:tcPr>
            <w:tcW w:w="10220" w:type="dxa"/>
            <w:vAlign w:val="bottom"/>
          </w:tcPr>
          <w:p>
            <w:pPr>
              <w:ind w:left="180"/>
              <w:spacing w:after="0" w:line="202" w:lineRule="exact"/>
              <w:rPr>
                <w:sz w:val="20"/>
                <w:szCs w:val="20"/>
                <w:color w:val="auto"/>
              </w:rPr>
            </w:pPr>
            <w:r>
              <w:rPr>
                <w:rFonts w:ascii="Arial" w:cs="Arial" w:eastAsia="Arial" w:hAnsi="Arial"/>
                <w:sz w:val="18"/>
                <w:szCs w:val="18"/>
                <w:color w:val="auto"/>
              </w:rPr>
              <w:t>Less: current operating lease liabilities</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(1,515)</w:t>
            </w:r>
          </w:p>
        </w:tc>
      </w:tr>
      <w:tr>
        <w:trPr>
          <w:trHeight w:val="203"/>
        </w:trPr>
        <w:tc>
          <w:tcPr>
            <w:tcW w:w="10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17,056</w:t>
            </w:r>
          </w:p>
        </w:tc>
        <w:tc>
          <w:tcPr>
            <w:tcW w:w="120" w:type="dxa"/>
            <w:vAlign w:val="bottom"/>
            <w:shd w:val="clear" w:color="auto" w:fill="CCEEFF"/>
          </w:tcPr>
          <w:p>
            <w:pPr>
              <w:spacing w:after="0"/>
              <w:rPr>
                <w:sz w:val="17"/>
                <w:szCs w:val="17"/>
                <w:color w:val="auto"/>
              </w:rPr>
            </w:pPr>
          </w:p>
        </w:tc>
      </w:tr>
      <w:tr>
        <w:trPr>
          <w:trHeight w:val="20"/>
        </w:trPr>
        <w:tc>
          <w:tcPr>
            <w:tcW w:w="10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10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440" w:hanging="324"/>
        <w:spacing w:after="0"/>
        <w:tabs>
          <w:tab w:leader="none" w:pos="44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Total lease liability as of December 31, 2022 excludes lease payments of $49.3 million for a lease signed but not yet commenced.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42"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From time to time, the Company may become involved in legal proceedings arising from the ordinary course of business. The Company records a liability for such matters when it is probable that future losses will be incurred and that such losses can be reasonably estimated. Significant judgment by the Company is required to determine both probability and the estimated amount. Management is currently not aware of any legal matters that could have a material adverse effect on the Company’s financial position, results of operations or cash flows.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42" w:lineRule="exact"/>
        <w:rPr>
          <w:sz w:val="20"/>
          <w:szCs w:val="20"/>
          <w:color w:val="auto"/>
        </w:rPr>
      </w:pPr>
    </w:p>
    <w:p>
      <w:pPr>
        <w:ind w:left="120" w:right="80"/>
        <w:spacing w:after="0" w:line="259" w:lineRule="auto"/>
        <w:rPr>
          <w:sz w:val="20"/>
          <w:szCs w:val="20"/>
          <w:color w:val="auto"/>
        </w:rPr>
      </w:pPr>
      <w:r>
        <w:rPr>
          <w:rFonts w:ascii="Arial" w:cs="Arial" w:eastAsia="Arial" w:hAnsi="Arial"/>
          <w:sz w:val="17"/>
          <w:szCs w:val="17"/>
          <w:color w:val="auto"/>
        </w:rPr>
        <w:t>In the normal course of business, the Company enters into agreements that contain a variety of representations and provide for general indemnification. Its exposure under these agreements is unknown because it involves claims that may be made against the Company in the future. To the extent permitted under Delaware law, the Company has agreed to indemnify its directors and officers for certain events or occurrences while the director or officer is, or was serving, at a request in such capacity. To date, the Company has not paid any claims or been required to defend any action related to its indemnification obligations. As of December 31, 2021 and 2022, the Company did not have any material indemnification claims that were probable or reasonably possible and consequently has not recorded related liabilities.</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11. Redeemable convertible preferred units</w:t>
      </w:r>
    </w:p>
    <w:p>
      <w:pPr>
        <w:spacing w:after="0" w:line="148"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On March 15, 2021, the Company closed the Series A-5 financing and issued 1,580,937 shares of the Series A-5 redeemable convertible preferred units for gross cash proceeds of $10.0 million. The Company incurred $0.1 million in issuance costs.</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5" w:right="4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Arial" w:cs="Arial" w:eastAsia="Arial" w:hAnsi="Arial"/>
          <w:sz w:val="17"/>
          <w:szCs w:val="17"/>
          <w:color w:val="auto"/>
        </w:rPr>
        <w:t>On January 21, 2022, the Company closed the Series B financing and issued 12,446,876 shares of the Series B redeemable convertible preferred units for gross cash proceeds of $145.0 million. The Company incurred $0.7 million in issuance costs. Concurrently with the closing of the Series B financing, the outstanding Moderna convertible promissory note and accrued interest of $30.4 million was converted into 2,607,387 Series B Preferred Units, at a conversion price equal to the price per unit paid by the Series B investors.</w:t>
      </w:r>
    </w:p>
    <w:p>
      <w:pPr>
        <w:spacing w:after="0" w:line="92"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On December 20, 2022, the Company entered into Series B-1 redeemable convertible preferred unit purchase agreement to sell up to 7,108,480 Series B redeemable convertible preferred units at the purchase price of $ 14.06770. In December 2022, the Company sold and issued 6,773,726 shares of the Series B-1 redeemable convertible preferred units for gross cash proceeds of $95.3 million in the initial closing. The Company incurred $0.4 million issuance costs. Additional shares may be sold within 90 days of the initial closing.</w:t>
      </w:r>
    </w:p>
    <w:p>
      <w:pPr>
        <w:spacing w:after="0" w:line="106"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As of December 31, 2022, the Company operated under the Amended and Restated Limited Liability Company Agreement dated December 20, 2022 (the “LLC Agreement”). The LLC Agreement provides for eight classes of units: common units, Series A-1 redeemable convertible preferred units (Series A-1), Series A-2 redeemable convertible preferred units (Series A-2), Series A-3 redeemable convertible preferred units (Series A-3), Series A-4 redeemable convertible preferred units (Series A-4), Series A-5 redeemable convertible preferred units (Series A-5), Series B redeemable convertible preferred units (Series B) and Series B-1 redeemable convertible preferred units (Series B-1).</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redeemable convertible preferred units as of December 31, 2021, consisted of the following (in thousands, except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Arial" w:cs="Arial" w:eastAsia="Arial" w:hAnsi="Arial"/>
                <w:sz w:val="16"/>
                <w:szCs w:val="16"/>
                <w:b w:val="1"/>
                <w:bCs w:val="1"/>
                <w:color w:val="auto"/>
              </w:rPr>
              <w:t>Units issued</w:t>
            </w:r>
          </w:p>
        </w:tc>
        <w:tc>
          <w:tcPr>
            <w:tcW w:w="114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Aggregate</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Net</w:t>
            </w:r>
          </w:p>
        </w:tc>
      </w:tr>
      <w:tr>
        <w:trPr>
          <w:trHeight w:val="189"/>
        </w:trPr>
        <w:tc>
          <w:tcPr>
            <w:tcW w:w="6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72"/>
              <w:spacing w:after="0"/>
              <w:rPr>
                <w:sz w:val="20"/>
                <w:szCs w:val="20"/>
                <w:color w:val="auto"/>
              </w:rPr>
            </w:pPr>
            <w:r>
              <w:rPr>
                <w:rFonts w:ascii="Arial" w:cs="Arial" w:eastAsia="Arial" w:hAnsi="Arial"/>
                <w:sz w:val="16"/>
                <w:szCs w:val="16"/>
                <w:b w:val="1"/>
                <w:bCs w:val="1"/>
                <w:color w:val="auto"/>
              </w:rPr>
              <w:t>Units</w:t>
            </w:r>
          </w:p>
        </w:tc>
        <w:tc>
          <w:tcPr>
            <w:tcW w:w="1240" w:type="dxa"/>
            <w:vAlign w:val="bottom"/>
          </w:tcPr>
          <w:p>
            <w:pPr>
              <w:jc w:val="right"/>
              <w:ind w:right="33"/>
              <w:spacing w:after="0"/>
              <w:rPr>
                <w:sz w:val="20"/>
                <w:szCs w:val="20"/>
                <w:color w:val="auto"/>
              </w:rPr>
            </w:pPr>
            <w:r>
              <w:rPr>
                <w:rFonts w:ascii="Arial" w:cs="Arial" w:eastAsia="Arial" w:hAnsi="Arial"/>
                <w:sz w:val="16"/>
                <w:szCs w:val="16"/>
                <w:b w:val="1"/>
                <w:bCs w:val="1"/>
                <w:color w:val="auto"/>
              </w:rPr>
              <w:t>and</w:t>
            </w:r>
          </w:p>
        </w:tc>
        <w:tc>
          <w:tcPr>
            <w:tcW w:w="114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liquidation</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carrying</w:t>
            </w:r>
          </w:p>
        </w:tc>
      </w:tr>
      <w:tr>
        <w:trPr>
          <w:trHeight w:val="203"/>
        </w:trPr>
        <w:tc>
          <w:tcPr>
            <w:tcW w:w="63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authorized</w:t>
            </w: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outstanding</w:t>
            </w:r>
          </w:p>
        </w:tc>
        <w:tc>
          <w:tcPr>
            <w:tcW w:w="11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6"/>
                <w:szCs w:val="16"/>
                <w:b w:val="1"/>
                <w:bCs w:val="1"/>
                <w:color w:val="auto"/>
              </w:rPr>
              <w:t>preference</w:t>
            </w: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value</w:t>
            </w: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A-1</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7,501,002</w:t>
            </w:r>
          </w:p>
        </w:tc>
        <w:tc>
          <w:tcPr>
            <w:tcW w:w="1240" w:type="dxa"/>
            <w:vAlign w:val="bottom"/>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7,501,002</w:t>
            </w:r>
          </w:p>
        </w:tc>
        <w:tc>
          <w:tcPr>
            <w:tcW w:w="34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24,247</w:t>
            </w:r>
          </w:p>
        </w:tc>
        <w:tc>
          <w:tcPr>
            <w:tcW w:w="8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$ 24,067</w:t>
            </w:r>
          </w:p>
        </w:tc>
        <w:tc>
          <w:tcPr>
            <w:tcW w:w="60" w:type="dxa"/>
            <w:vAlign w:val="bottom"/>
            <w:shd w:val="clear" w:color="auto" w:fill="CCEEFF"/>
          </w:tcPr>
          <w:p>
            <w:pPr>
              <w:spacing w:after="0"/>
              <w:rPr>
                <w:sz w:val="17"/>
                <w:szCs w:val="17"/>
                <w:color w:val="auto"/>
              </w:rPr>
            </w:pPr>
          </w:p>
        </w:tc>
      </w:tr>
      <w:tr>
        <w:trPr>
          <w:trHeight w:val="203"/>
        </w:trPr>
        <w:tc>
          <w:tcPr>
            <w:tcW w:w="6600" w:type="dxa"/>
            <w:vAlign w:val="bottom"/>
            <w:gridSpan w:val="2"/>
          </w:tcPr>
          <w:p>
            <w:pPr>
              <w:spacing w:after="0" w:line="202" w:lineRule="exact"/>
              <w:rPr>
                <w:sz w:val="20"/>
                <w:szCs w:val="20"/>
                <w:color w:val="auto"/>
              </w:rPr>
            </w:pPr>
            <w:r>
              <w:rPr>
                <w:rFonts w:ascii="Arial" w:cs="Arial" w:eastAsia="Arial" w:hAnsi="Arial"/>
                <w:sz w:val="18"/>
                <w:szCs w:val="18"/>
                <w:color w:val="auto"/>
              </w:rPr>
              <w:t>Series A-2</w:t>
            </w:r>
          </w:p>
        </w:tc>
        <w:tc>
          <w:tcPr>
            <w:tcW w:w="11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774,473</w:t>
            </w:r>
          </w:p>
        </w:tc>
        <w:tc>
          <w:tcPr>
            <w:tcW w:w="12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774,473</w:t>
            </w:r>
          </w:p>
        </w:tc>
        <w:tc>
          <w:tcPr>
            <w:tcW w:w="340" w:type="dxa"/>
            <w:vAlign w:val="bottom"/>
          </w:tcPr>
          <w:p>
            <w:pPr>
              <w:spacing w:after="0"/>
              <w:rPr>
                <w:sz w:val="17"/>
                <w:szCs w:val="17"/>
                <w:color w:val="auto"/>
              </w:rPr>
            </w:pPr>
          </w:p>
        </w:tc>
        <w:tc>
          <w:tcPr>
            <w:tcW w:w="8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500</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581</w:t>
            </w:r>
          </w:p>
        </w:tc>
        <w:tc>
          <w:tcPr>
            <w:tcW w:w="60" w:type="dxa"/>
            <w:vAlign w:val="bottom"/>
          </w:tcPr>
          <w:p>
            <w:pPr>
              <w:spacing w:after="0"/>
              <w:rPr>
                <w:sz w:val="17"/>
                <w:szCs w:val="17"/>
                <w:color w:val="auto"/>
              </w:rPr>
            </w:pPr>
          </w:p>
        </w:tc>
      </w:tr>
      <w:tr>
        <w:trPr>
          <w:trHeight w:val="203"/>
        </w:trPr>
        <w:tc>
          <w:tcPr>
            <w:tcW w:w="6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A-3</w:t>
            </w:r>
          </w:p>
        </w:tc>
        <w:tc>
          <w:tcPr>
            <w:tcW w:w="11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1,513,860</w:t>
            </w:r>
          </w:p>
        </w:tc>
        <w:tc>
          <w:tcPr>
            <w:tcW w:w="12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1,513,860</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1,773</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1,892</w:t>
            </w:r>
          </w:p>
        </w:tc>
        <w:tc>
          <w:tcPr>
            <w:tcW w:w="60" w:type="dxa"/>
            <w:vAlign w:val="bottom"/>
            <w:shd w:val="clear" w:color="auto" w:fill="CCEEFF"/>
          </w:tcPr>
          <w:p>
            <w:pPr>
              <w:spacing w:after="0"/>
              <w:rPr>
                <w:sz w:val="17"/>
                <w:szCs w:val="17"/>
                <w:color w:val="auto"/>
              </w:rPr>
            </w:pPr>
          </w:p>
        </w:tc>
      </w:tr>
      <w:tr>
        <w:trPr>
          <w:trHeight w:val="203"/>
        </w:trPr>
        <w:tc>
          <w:tcPr>
            <w:tcW w:w="6600" w:type="dxa"/>
            <w:vAlign w:val="bottom"/>
            <w:gridSpan w:val="2"/>
          </w:tcPr>
          <w:p>
            <w:pPr>
              <w:spacing w:after="0" w:line="202" w:lineRule="exact"/>
              <w:rPr>
                <w:sz w:val="20"/>
                <w:szCs w:val="20"/>
                <w:color w:val="auto"/>
              </w:rPr>
            </w:pPr>
            <w:r>
              <w:rPr>
                <w:rFonts w:ascii="Arial" w:cs="Arial" w:eastAsia="Arial" w:hAnsi="Arial"/>
                <w:sz w:val="18"/>
                <w:szCs w:val="18"/>
                <w:color w:val="auto"/>
              </w:rPr>
              <w:t>Series A-4</w:t>
            </w:r>
          </w:p>
        </w:tc>
        <w:tc>
          <w:tcPr>
            <w:tcW w:w="11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8,280,360</w:t>
            </w:r>
          </w:p>
        </w:tc>
        <w:tc>
          <w:tcPr>
            <w:tcW w:w="12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8,280,360</w:t>
            </w:r>
          </w:p>
        </w:tc>
        <w:tc>
          <w:tcPr>
            <w:tcW w:w="340" w:type="dxa"/>
            <w:vAlign w:val="bottom"/>
          </w:tcPr>
          <w:p>
            <w:pPr>
              <w:spacing w:after="0"/>
              <w:rPr>
                <w:sz w:val="17"/>
                <w:szCs w:val="17"/>
                <w:color w:val="auto"/>
              </w:rPr>
            </w:pPr>
          </w:p>
        </w:tc>
        <w:tc>
          <w:tcPr>
            <w:tcW w:w="8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40,149</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40,007</w:t>
            </w:r>
          </w:p>
        </w:tc>
        <w:tc>
          <w:tcPr>
            <w:tcW w:w="60" w:type="dxa"/>
            <w:vAlign w:val="bottom"/>
          </w:tcPr>
          <w:p>
            <w:pPr>
              <w:spacing w:after="0"/>
              <w:rPr>
                <w:sz w:val="17"/>
                <w:szCs w:val="17"/>
                <w:color w:val="auto"/>
              </w:rPr>
            </w:pPr>
          </w:p>
        </w:tc>
      </w:tr>
      <w:tr>
        <w:trPr>
          <w:trHeight w:val="203"/>
        </w:trPr>
        <w:tc>
          <w:tcPr>
            <w:tcW w:w="6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A-5</w:t>
            </w:r>
          </w:p>
        </w:tc>
        <w:tc>
          <w:tcPr>
            <w:tcW w:w="11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1,580,937</w:t>
            </w:r>
          </w:p>
        </w:tc>
        <w:tc>
          <w:tcPr>
            <w:tcW w:w="12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1,580,937</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10,000</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9,948</w:t>
            </w:r>
          </w:p>
        </w:tc>
        <w:tc>
          <w:tcPr>
            <w:tcW w:w="60" w:type="dxa"/>
            <w:vAlign w:val="bottom"/>
            <w:shd w:val="clear" w:color="auto" w:fill="CCEEFF"/>
          </w:tcPr>
          <w:p>
            <w:pPr>
              <w:spacing w:after="0"/>
              <w:rPr>
                <w:sz w:val="17"/>
                <w:szCs w:val="17"/>
                <w:color w:val="auto"/>
              </w:rPr>
            </w:pPr>
          </w:p>
        </w:tc>
      </w:tr>
      <w:tr>
        <w:trPr>
          <w:trHeight w:val="210"/>
        </w:trPr>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19,650,632</w:t>
            </w: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19,650,632</w:t>
            </w:r>
          </w:p>
        </w:tc>
        <w:tc>
          <w:tcPr>
            <w:tcW w:w="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76,669</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$ 76,495</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redeemable convertible preferred units as of December 31, 2022, consisted of the following (in thousands, except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Units issued</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Aggregate</w:t>
            </w:r>
          </w:p>
        </w:tc>
        <w:tc>
          <w:tcPr>
            <w:tcW w:w="26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Net</w:t>
            </w:r>
          </w:p>
        </w:tc>
      </w:tr>
      <w:tr>
        <w:trPr>
          <w:trHeight w:val="189"/>
        </w:trPr>
        <w:tc>
          <w:tcPr>
            <w:tcW w:w="30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220" w:type="dxa"/>
            <w:vAlign w:val="bottom"/>
          </w:tcPr>
          <w:p>
            <w:pPr>
              <w:jc w:val="right"/>
              <w:ind w:right="56"/>
              <w:spacing w:after="0"/>
              <w:rPr>
                <w:sz w:val="20"/>
                <w:szCs w:val="20"/>
                <w:color w:val="auto"/>
              </w:rPr>
            </w:pPr>
            <w:r>
              <w:rPr>
                <w:rFonts w:ascii="Arial" w:cs="Arial" w:eastAsia="Arial" w:hAnsi="Arial"/>
                <w:sz w:val="16"/>
                <w:szCs w:val="16"/>
                <w:b w:val="1"/>
                <w:bCs w:val="1"/>
                <w:color w:val="auto"/>
              </w:rPr>
              <w:t>Units</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and</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liquidation</w:t>
            </w:r>
          </w:p>
        </w:tc>
        <w:tc>
          <w:tcPr>
            <w:tcW w:w="26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carrying</w:t>
            </w:r>
          </w:p>
        </w:tc>
      </w:tr>
      <w:tr>
        <w:trPr>
          <w:trHeight w:val="203"/>
        </w:trPr>
        <w:tc>
          <w:tcPr>
            <w:tcW w:w="308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authorized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outstanding</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preference</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value</w:t>
            </w:r>
          </w:p>
        </w:tc>
      </w:tr>
      <w:tr>
        <w:trPr>
          <w:trHeight w:val="196"/>
        </w:trPr>
        <w:tc>
          <w:tcPr>
            <w:tcW w:w="3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A-1</w:t>
            </w:r>
          </w:p>
        </w:tc>
        <w:tc>
          <w:tcPr>
            <w:tcW w:w="4620" w:type="dxa"/>
            <w:vAlign w:val="bottom"/>
            <w:gridSpan w:val="2"/>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rPr>
              <w:t>7,501,002</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7,501,002</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24,247</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24,067</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Series A-2</w:t>
            </w:r>
          </w:p>
        </w:tc>
        <w:tc>
          <w:tcPr>
            <w:tcW w:w="4620" w:type="dxa"/>
            <w:vAlign w:val="bottom"/>
            <w:gridSpan w:val="2"/>
          </w:tcPr>
          <w:p>
            <w:pPr>
              <w:jc w:val="right"/>
              <w:ind w:right="56"/>
              <w:spacing w:after="0" w:line="202" w:lineRule="exact"/>
              <w:rPr>
                <w:sz w:val="20"/>
                <w:szCs w:val="20"/>
                <w:color w:val="auto"/>
              </w:rPr>
            </w:pPr>
            <w:r>
              <w:rPr>
                <w:rFonts w:ascii="Arial" w:cs="Arial" w:eastAsia="Arial" w:hAnsi="Arial"/>
                <w:sz w:val="18"/>
                <w:szCs w:val="18"/>
                <w:color w:val="auto"/>
              </w:rPr>
              <w:t>774,473</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774,473</w:t>
            </w: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26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581</w:t>
            </w: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A-3</w:t>
            </w:r>
          </w:p>
        </w:tc>
        <w:tc>
          <w:tcPr>
            <w:tcW w:w="4620" w:type="dxa"/>
            <w:vAlign w:val="bottom"/>
            <w:gridSpan w:val="2"/>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1,513,860</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1,513,860</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1,773</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1,892</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Series A-4</w:t>
            </w:r>
          </w:p>
        </w:tc>
        <w:tc>
          <w:tcPr>
            <w:tcW w:w="4620" w:type="dxa"/>
            <w:vAlign w:val="bottom"/>
            <w:gridSpan w:val="2"/>
          </w:tcPr>
          <w:p>
            <w:pPr>
              <w:jc w:val="right"/>
              <w:ind w:right="56"/>
              <w:spacing w:after="0" w:line="202" w:lineRule="exact"/>
              <w:rPr>
                <w:sz w:val="20"/>
                <w:szCs w:val="20"/>
                <w:color w:val="auto"/>
              </w:rPr>
            </w:pPr>
            <w:r>
              <w:rPr>
                <w:rFonts w:ascii="Arial" w:cs="Arial" w:eastAsia="Arial" w:hAnsi="Arial"/>
                <w:sz w:val="18"/>
                <w:szCs w:val="18"/>
                <w:color w:val="auto"/>
              </w:rPr>
              <w:t>8,280,360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8,280,360</w:t>
            </w: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40,149</w:t>
            </w:r>
          </w:p>
        </w:tc>
        <w:tc>
          <w:tcPr>
            <w:tcW w:w="26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40,007</w:t>
            </w: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A-5</w:t>
            </w:r>
          </w:p>
        </w:tc>
        <w:tc>
          <w:tcPr>
            <w:tcW w:w="4620" w:type="dxa"/>
            <w:vAlign w:val="bottom"/>
            <w:gridSpan w:val="2"/>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1,580,937</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1,580,937</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9,948</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Series B</w:t>
            </w:r>
          </w:p>
        </w:tc>
        <w:tc>
          <w:tcPr>
            <w:tcW w:w="4620" w:type="dxa"/>
            <w:vAlign w:val="bottom"/>
            <w:gridSpan w:val="2"/>
          </w:tcPr>
          <w:p>
            <w:pPr>
              <w:jc w:val="right"/>
              <w:ind w:right="56"/>
              <w:spacing w:after="0" w:line="202" w:lineRule="exact"/>
              <w:rPr>
                <w:sz w:val="20"/>
                <w:szCs w:val="20"/>
                <w:color w:val="auto"/>
              </w:rPr>
            </w:pPr>
            <w:r>
              <w:rPr>
                <w:rFonts w:ascii="Arial" w:cs="Arial" w:eastAsia="Arial" w:hAnsi="Arial"/>
                <w:sz w:val="18"/>
                <w:szCs w:val="18"/>
                <w:color w:val="auto"/>
              </w:rPr>
              <w:t>15,054,263</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15,054,263</w:t>
            </w: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175,375</w:t>
            </w:r>
          </w:p>
        </w:tc>
        <w:tc>
          <w:tcPr>
            <w:tcW w:w="26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174,678</w:t>
            </w:r>
          </w:p>
        </w:tc>
      </w:tr>
      <w:tr>
        <w:trPr>
          <w:trHeight w:val="202"/>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B-1</w:t>
            </w:r>
          </w:p>
        </w:tc>
        <w:tc>
          <w:tcPr>
            <w:tcW w:w="4620" w:type="dxa"/>
            <w:vAlign w:val="bottom"/>
            <w:gridSpan w:val="2"/>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7,108,480</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6,773,726</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95,291</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94,930</w:t>
            </w:r>
          </w:p>
        </w:tc>
      </w:tr>
      <w:tr>
        <w:trPr>
          <w:trHeight w:val="210"/>
        </w:trPr>
        <w:tc>
          <w:tcPr>
            <w:tcW w:w="3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41,813,375</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41,478,621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347,335</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346,103</w:t>
            </w:r>
          </w:p>
        </w:tc>
        <w:tc>
          <w:tcPr>
            <w:tcW w:w="80" w:type="dxa"/>
            <w:vAlign w:val="bottom"/>
          </w:tcPr>
          <w:p>
            <w:pPr>
              <w:spacing w:after="0"/>
              <w:rPr>
                <w:sz w:val="18"/>
                <w:szCs w:val="18"/>
                <w:color w:val="auto"/>
              </w:rPr>
            </w:pPr>
          </w:p>
        </w:tc>
      </w:tr>
      <w:tr>
        <w:trPr>
          <w:trHeight w:val="20"/>
        </w:trPr>
        <w:tc>
          <w:tcPr>
            <w:tcW w:w="30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462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363"/>
        </w:trPr>
        <w:tc>
          <w:tcPr>
            <w:tcW w:w="3080" w:type="dxa"/>
            <w:vAlign w:val="bottom"/>
          </w:tcPr>
          <w:p>
            <w:pPr>
              <w:spacing w:after="0"/>
              <w:rPr>
                <w:sz w:val="24"/>
                <w:szCs w:val="24"/>
                <w:color w:val="auto"/>
              </w:rPr>
            </w:pPr>
          </w:p>
        </w:tc>
        <w:tc>
          <w:tcPr>
            <w:tcW w:w="4620" w:type="dxa"/>
            <w:vAlign w:val="bottom"/>
            <w:gridSpan w:val="2"/>
          </w:tcPr>
          <w:p>
            <w:pPr>
              <w:jc w:val="right"/>
              <w:ind w:right="1936"/>
              <w:spacing w:after="0"/>
              <w:rPr>
                <w:sz w:val="20"/>
                <w:szCs w:val="20"/>
                <w:color w:val="auto"/>
              </w:rPr>
            </w:pPr>
            <w:r>
              <w:rPr>
                <w:rFonts w:ascii="Arial" w:cs="Arial" w:eastAsia="Arial" w:hAnsi="Arial"/>
                <w:sz w:val="18"/>
                <w:szCs w:val="18"/>
                <w:color w:val="auto"/>
              </w:rPr>
              <w:t>F-33</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holders of the redeemable convertible preferred units have various rights and preference as follows: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29"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Each redeemable convertible preferred unit is entitled to one vote for each common unit into which such redeemable convertible preferred unit is then convertible. The redeemable convertible preferred unitholders and the common unitholders vote together on all matters as a single class, except as otherwise provided by law or the provisions of the LLC Agreement.</w:t>
      </w:r>
    </w:p>
    <w:p>
      <w:pPr>
        <w:spacing w:after="0" w:line="10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Board of Managers consists of up to seven individuals. As long as at least 618,716 Series A-1 redeemable convertible preferred units, Series A-2 redeemable convertible preferred units and/or Series A-3 redeemable convertible preferred units remain outstanding, the members holding a majority of the outstanding Series A-1 redeemable convertible preferred units, Series A-2 redeemable convertible preferred units and Series A-3 redeemable convertible preferred units, voting together as a single class on an as-converted basis, are entitled to elect one manager. As long as at least 1,654,555 Series A-4 redeemable convertible preferred units remain outstanding, the members holding a majority of the Series A-4 redeemable convertible preferred units, voting as a single class, are entitled to elect one manager. As long as at least 316,187 Series A-5 redeemable convertible preferred units remain outstanding, the members holding a majority of the Series A-5 redeemable convertible preferred units, voting as a single class, are entitled to elect one manager. As long as at least 3,010,852 Series B redeemable convertible preferred units remain outstanding, the members holding a majority of the Series B redeemable convertible preferred units, voting as a single class, are entitled to elect one manager. The members holding a majority of the common units, voting as a single class are entitled to elect one manager. The members holding a majority of the units then outstanding, voting together as a single class on an as-converted to common units basis are entitled to elect any remaining managers. As of December 31, 2021 and 2022, respectively, the Company’s Board of Managers consisted of five and six individuals, respectively.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142"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Each redeemable convertible preferred unit is convertible into common units at the option of a holder at the then applicable conversion price, which is equal the original purchase price, subject to adjustments for recapitalization and others. The original purchase price is equal to $3.2325 per Series A-1 Preferred Unit, $0.6456 per Series A-2 Preferred Unit, $1.1713 per Series A-3 Preferred Unit, $4.84875 per Series A-4 Preferred Unit, $6.32536 per Series A-5 Preferred Unit, $11.64951 per Series B Preferred Unit, and $ 14.06770 per Series B-1 Preferred Unit. As of December 31, 2021 and 2022, the redeemable convertible preferred units were convertible into common units at a one-for-one conversion ratio.</w:t>
      </w:r>
    </w:p>
    <w:p>
      <w:pPr>
        <w:spacing w:after="0" w:line="11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Each redeemable convertible preferred unit is automatically convertible into common units (or shares of common stock, if the Company is converted into a corporation), based on the then-effective applicable conversion rate (A) at any time upon the affirmative vote or written consent of (i) the members holding a majority of the redeemable convertible preferred units then outstanding, (ii) the members holding a majority of the Series B redeemable convertible preferred units then outstanding, and (iii) the members holding a majority of the Series B-1 redeemable convertible preferred units then outstanding, or (B) immediately upon the closing of a firmly underwritten public offering pursuant to an effective registration statement under the Securities Act of 1933, as amended, covering the offer and sale of common units (or other common securities) with the gross cash proceeds to the Company, before underwriting discounts, commissions and offering expenses, are at least $100.0 million, or (C) the closing of a merger, acquisition or other business combination involving the Company and a publicly traded special purpose acquisition company (“SPAC”) or its subsidiary or affiliate in which the surviving public company has available immediately cash of at least $100.0 million in the aggregate greater than the cash on the Company’s consolidated balance sheets as of immediately prior to such merger,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5" w:right="45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acquisition or other business combination (including proceeds of a private investment in public equity transaction that is substantially contemporaneous with or conditioned on such merger, acquisition or other business combination, and any redemptions from the SPAC’s trust account).</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Anti-dilution and other protective provisions</w:t>
      </w:r>
    </w:p>
    <w:p>
      <w:pPr>
        <w:spacing w:after="0" w:line="129"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The holders of the redeemable convertible preferred units have proportional anti-dilution protection right for unit splits, unit dividends and similar recapitalizations, subject to certain exclusions, anti-dilution price protection for additional sales of securities by the Company for consideration per unit less than the applicable conversion price per unit of any series of the redeemable convertible preferred units, on a broad-based weighted average basis.</w:t>
      </w:r>
    </w:p>
    <w:p>
      <w:pPr>
        <w:spacing w:after="0" w:line="106"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The holders of the redeemable convertible preferred units have certain protective rights. The Company shall not, either directly or by amendment, merger, consolidation or otherwise, without the prior written approval of members holding a majority of the redeemable convertible preferred units then outstanding to alter or change the rights, preferences or privileges of the redeemable convertible preferred units; consummate a liquidation or a deemed liquidation event; change the Company’s LLC Agreement; authorize or create any new class or series of units or other equity security; increase or decrease the authorized number of the common units or the redeemable convertible preferred units or any series; redeem, acquire or repurchase any, or make any distribution on, any common units or redeemable convertible preferred units; change the compensation or equity awards granted to executive officers of the Company, unless such transaction is approved by the Board of Managers; increase or decrease the authorized number of managers constituting the Board of Managers and amend other rights or enter into certain transactions.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4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In the event of a liquidation, a deemed liquidation event (including a consolidation, merger or reorganization or a sale, lease, transfer, exclusive irrevocable license or other disposition of all or substantially all of the assets of the Company), dissolution or winding-up of the Company, the funds are distributed first to the members holding the redeemable convertible preferred units in proportion to and to the extent of their unreturned original purchase price per redeemable convertible preferred unit, until each member holding the redeemable convertible preferred units has received cumulative distributions in an amount equal to the unreturned original purchase price for each of such member’s redeemable convertible preferred unit. Second, to the members holding common units and the redeemable convertible preferred units pro rata based on the number of units held by each such holder, assuming for this purpose that all the redeemable convertible preferred units have been converted into common units as of the date of such operating distribution or distribution of net proceeds or assets available for distribution, whether in cash or in other property. Third, the amounts that would otherwise be distributed to any redeemable convertible preferred unit holder pursuant to the liquidation preference on as-converted to common units basis will be reduced by an amount equal to the remaining preferred participation threshold amount for such redeemable convertible preferred unit. The preferred participation threshold amount for a redeemable convertible preferred unit is equal to the original purchase price, reduced by distributions paid.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preference</w:t>
      </w:r>
    </w:p>
    <w:p>
      <w:pPr>
        <w:spacing w:after="0" w:line="142"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Distributions, when determined by the Board of Managers, are payable to the members holding the redeemable convertible preferred units, pro rata in proportion to the liquidation preference amounts in respect of the redeemable convertible preferred units held by such members; thereafter, to the members in proportion to the number of shares held by such members, on as converted basis. No distributions were declared or made from inception and during the years ended December 31, 2021 and 2022.</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5" w:right="45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142"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The redeemable convertible preferred units are not redeemable except in the event of certain effected deemed liquidation events, that are not in the Company’s control.</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12. Common units</w:t>
      </w:r>
    </w:p>
    <w:p>
      <w:pPr>
        <w:spacing w:after="0" w:line="148"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As of December 31, 2021 and 2022, the Company was authorized to issue 32,000,000 and 66,000,000 common units, respectively. Each common unit is entitled to cast one vote. The holders of common units are also entitled to receive distributions whenever funds are legally available and when declared by the Company’s Board of Managers, subject to prior rights of the holders of the redeemable convertible preferred units. No distributions have been declared from inception to date.</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2021 and 2022, the Company reserved common units for future issuance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gridSpan w:val="3"/>
          </w:tcPr>
          <w:p>
            <w:pPr>
              <w:ind w:left="16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8480" w:type="dxa"/>
            <w:vAlign w:val="bottom"/>
            <w:tcBorders>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2"/>
              <w:spacing w:after="0" w:line="183" w:lineRule="exact"/>
              <w:rPr>
                <w:sz w:val="20"/>
                <w:szCs w:val="20"/>
                <w:color w:val="auto"/>
              </w:rPr>
            </w:pPr>
            <w:r>
              <w:rPr>
                <w:rFonts w:ascii="Arial" w:cs="Arial" w:eastAsia="Arial" w:hAnsi="Arial"/>
                <w:sz w:val="16"/>
                <w:szCs w:val="16"/>
                <w:b w:val="1"/>
                <w:bCs w:val="1"/>
                <w:color w:val="auto"/>
              </w:rPr>
              <w:t>2021</w:t>
            </w: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redeemable convertible preferred units</w:t>
            </w:r>
          </w:p>
        </w:tc>
        <w:tc>
          <w:tcPr>
            <w:tcW w:w="126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19,650,632</w:t>
            </w:r>
          </w:p>
        </w:tc>
        <w:tc>
          <w:tcPr>
            <w:tcW w:w="12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41,478,621</w:t>
            </w:r>
          </w:p>
        </w:tc>
        <w:tc>
          <w:tcPr>
            <w:tcW w:w="60" w:type="dxa"/>
            <w:vAlign w:val="bottom"/>
            <w:shd w:val="clear" w:color="auto" w:fill="CCEEFF"/>
          </w:tcPr>
          <w:p>
            <w:pPr>
              <w:spacing w:after="0"/>
              <w:rPr>
                <w:sz w:val="17"/>
                <w:szCs w:val="17"/>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Outstanding profits interests</w:t>
            </w:r>
          </w:p>
        </w:tc>
        <w:tc>
          <w:tcPr>
            <w:tcW w:w="12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5,783,758</w:t>
            </w: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7,516,073</w:t>
            </w:r>
          </w:p>
        </w:tc>
        <w:tc>
          <w:tcPr>
            <w:tcW w:w="60" w:type="dxa"/>
            <w:vAlign w:val="bottom"/>
          </w:tcPr>
          <w:p>
            <w:pPr>
              <w:spacing w:after="0"/>
              <w:rPr>
                <w:sz w:val="17"/>
                <w:szCs w:val="17"/>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Units available for grants under 2019 Equity Incentive Plan</w:t>
            </w:r>
          </w:p>
        </w:tc>
        <w:tc>
          <w:tcPr>
            <w:tcW w:w="12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236,886</w:t>
            </w:r>
          </w:p>
        </w:tc>
        <w:tc>
          <w:tcPr>
            <w:tcW w:w="1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7,088,092</w:t>
            </w:r>
          </w:p>
        </w:tc>
        <w:tc>
          <w:tcPr>
            <w:tcW w:w="60" w:type="dxa"/>
            <w:vAlign w:val="bottom"/>
            <w:shd w:val="clear" w:color="auto" w:fill="CCEEFF"/>
          </w:tcPr>
          <w:p>
            <w:pPr>
              <w:spacing w:after="0"/>
              <w:rPr>
                <w:sz w:val="17"/>
                <w:szCs w:val="17"/>
                <w:color w:val="auto"/>
              </w:rPr>
            </w:pPr>
          </w:p>
        </w:tc>
      </w:tr>
      <w:tr>
        <w:trPr>
          <w:trHeight w:val="209"/>
        </w:trPr>
        <w:tc>
          <w:tcPr>
            <w:tcW w:w="8480" w:type="dxa"/>
            <w:vAlign w:val="bottom"/>
          </w:tcPr>
          <w:p>
            <w:pPr>
              <w:spacing w:after="0"/>
              <w:rPr>
                <w:sz w:val="20"/>
                <w:szCs w:val="20"/>
                <w:color w:val="auto"/>
              </w:rPr>
            </w:pPr>
            <w:r>
              <w:rPr>
                <w:rFonts w:ascii="Arial" w:cs="Arial" w:eastAsia="Arial" w:hAnsi="Arial"/>
                <w:sz w:val="18"/>
                <w:szCs w:val="18"/>
                <w:color w:val="auto"/>
              </w:rPr>
              <w:t>Total common units reserved for future issuance</w:t>
            </w:r>
          </w:p>
        </w:tc>
        <w:tc>
          <w:tcPr>
            <w:tcW w:w="1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25,671,276</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56,082,786</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8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Founders and investors common units</w:t>
      </w:r>
    </w:p>
    <w:p>
      <w:pPr>
        <w:spacing w:after="0" w:line="142"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In June 2017, Metagenomi Inc. issued 4,687,500 shares of its common stock at a purchase price of $ 0.0001 per share to its founders and investors for services, which was an estimated fair value determined by the Board of Managers at the issuance date. Pursuant to the terms of the stock purchase agreements, 25% of the shares vested on the first anniversary of the vesting start date and monthly over the next 36 months. Vesting of shares is accelerated upon a change of control event (including an acquisition of the Company by another entity by means of any transaction or series of related transactions, or a sale of all or substantially all of the assets of the Company). The Company has a right to repurchase unvested shares upon termination of services provided by the founders to the Company at the price lower of i) the purchase price or ii) the fair value at the date of repurchase. In November 2018, in connection with the reorganization, common stock issued by Metagenomi Inc. was exchanged for common units of Metagenomi with the same terms. The estimated fair value of common unit at the modification date was determined to be $0.02 per unit, based on the Company’s recent common unit valuation, and the modification expense was immaterial.</w:t>
      </w:r>
    </w:p>
    <w:p>
      <w:pPr>
        <w:spacing w:after="0" w:line="99"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In March 2019, the Company issued 1,260,000 common units to an investor for services with a purchase price of $0.02 per unit, which was based on the recent Company’s common stock valuation. As long as the investor continues to provide services, 25% of the shares vested immediately and the remainder vested monthly over the next 36 months. Vesting of shares is accelerated upon a change of control event. The Company has a right to repurchase unvested shares upon termination of services provided by the founders to the Company at the price lower of i) the purchase price or ii) the fair value at the date of repurchase.</w:t>
      </w:r>
    </w:p>
    <w:p>
      <w:pPr>
        <w:spacing w:after="0" w:line="109" w:lineRule="exact"/>
        <w:rPr>
          <w:sz w:val="20"/>
          <w:szCs w:val="20"/>
          <w:color w:val="auto"/>
        </w:rPr>
      </w:pPr>
    </w:p>
    <w:p>
      <w:pPr>
        <w:ind w:left="120" w:right="360"/>
        <w:spacing w:after="0" w:line="247" w:lineRule="auto"/>
        <w:rPr>
          <w:sz w:val="20"/>
          <w:szCs w:val="20"/>
          <w:color w:val="auto"/>
        </w:rPr>
      </w:pPr>
      <w:r>
        <w:rPr>
          <w:rFonts w:ascii="Arial" w:cs="Arial" w:eastAsia="Arial" w:hAnsi="Arial"/>
          <w:sz w:val="18"/>
          <w:szCs w:val="18"/>
          <w:color w:val="auto"/>
        </w:rPr>
        <w:t>The Company accounts for issued common units as unit-based compensation to founders and investors as service providers and recognizes unit-based compensation expense of $0.1 million over the vesting period. The Company had 494,689 and 78,750 common units vested during the years ended December 31, 2021 and December 31, 2022, respectively, each having fair value of less than $0.1 million. 78,750 and zero common units were unvested as of December 31, 2021 and 2022, respectively.</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5" w:right="4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a summary of common units with vesting conditions activity during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4100" w:type="dxa"/>
            <w:vAlign w:val="bottom"/>
            <w:gridSpan w:val="2"/>
          </w:tcPr>
          <w:p>
            <w:pPr>
              <w:jc w:val="right"/>
              <w:ind w:right="215"/>
              <w:spacing w:after="0"/>
              <w:rPr>
                <w:sz w:val="20"/>
                <w:szCs w:val="20"/>
                <w:color w:val="auto"/>
              </w:rPr>
            </w:pPr>
            <w:r>
              <w:rPr>
                <w:rFonts w:ascii="Arial" w:cs="Arial" w:eastAsia="Arial" w:hAnsi="Arial"/>
                <w:sz w:val="16"/>
                <w:szCs w:val="16"/>
                <w:b w:val="1"/>
                <w:bCs w:val="1"/>
                <w:color w:val="auto"/>
              </w:rPr>
              <w:t>Number of</w:t>
            </w:r>
          </w:p>
        </w:tc>
        <w:tc>
          <w:tcPr>
            <w:tcW w:w="1100" w:type="dxa"/>
            <w:vAlign w:val="bottom"/>
            <w:gridSpan w:val="3"/>
          </w:tcPr>
          <w:p>
            <w:pPr>
              <w:ind w:left="260"/>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58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100" w:type="dxa"/>
            <w:vAlign w:val="bottom"/>
          </w:tcPr>
          <w:p>
            <w:pPr>
              <w:jc w:val="right"/>
              <w:ind w:right="215"/>
              <w:spacing w:after="0"/>
              <w:rPr>
                <w:sz w:val="20"/>
                <w:szCs w:val="20"/>
                <w:color w:val="auto"/>
              </w:rPr>
            </w:pPr>
            <w:r>
              <w:rPr>
                <w:rFonts w:ascii="Arial" w:cs="Arial" w:eastAsia="Arial" w:hAnsi="Arial"/>
                <w:sz w:val="16"/>
                <w:szCs w:val="16"/>
                <w:b w:val="1"/>
                <w:bCs w:val="1"/>
                <w:color w:val="auto"/>
              </w:rPr>
              <w:t>common</w:t>
            </w:r>
          </w:p>
        </w:tc>
        <w:tc>
          <w:tcPr>
            <w:tcW w:w="3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average</w:t>
            </w:r>
          </w:p>
        </w:tc>
      </w:tr>
      <w:tr>
        <w:trPr>
          <w:trHeight w:val="189"/>
        </w:trPr>
        <w:tc>
          <w:tcPr>
            <w:tcW w:w="58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100" w:type="dxa"/>
            <w:vAlign w:val="bottom"/>
          </w:tcPr>
          <w:p>
            <w:pPr>
              <w:jc w:val="right"/>
              <w:ind w:right="215"/>
              <w:spacing w:after="0"/>
              <w:rPr>
                <w:sz w:val="20"/>
                <w:szCs w:val="20"/>
                <w:color w:val="auto"/>
              </w:rPr>
            </w:pPr>
            <w:r>
              <w:rPr>
                <w:rFonts w:ascii="Arial" w:cs="Arial" w:eastAsia="Arial" w:hAnsi="Arial"/>
                <w:sz w:val="16"/>
                <w:szCs w:val="16"/>
                <w:b w:val="1"/>
                <w:bCs w:val="1"/>
                <w:color w:val="auto"/>
              </w:rPr>
              <w:t>units</w:t>
            </w:r>
          </w:p>
        </w:tc>
        <w:tc>
          <w:tcPr>
            <w:tcW w:w="1100" w:type="dxa"/>
            <w:vAlign w:val="bottom"/>
            <w:gridSpan w:val="3"/>
          </w:tcPr>
          <w:p>
            <w:pPr>
              <w:ind w:left="260"/>
              <w:spacing w:after="0"/>
              <w:rPr>
                <w:sz w:val="20"/>
                <w:szCs w:val="20"/>
                <w:color w:val="auto"/>
              </w:rPr>
            </w:pPr>
            <w:r>
              <w:rPr>
                <w:rFonts w:ascii="Arial" w:cs="Arial" w:eastAsia="Arial" w:hAnsi="Arial"/>
                <w:sz w:val="16"/>
                <w:szCs w:val="16"/>
                <w:b w:val="1"/>
                <w:bCs w:val="1"/>
                <w:color w:val="auto"/>
              </w:rPr>
              <w:t>grant date</w:t>
            </w:r>
          </w:p>
        </w:tc>
      </w:tr>
      <w:tr>
        <w:trPr>
          <w:trHeight w:val="203"/>
        </w:trPr>
        <w:tc>
          <w:tcPr>
            <w:tcW w:w="58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unvested</w:t>
            </w: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Unvested as of January 1, 2022</w:t>
            </w:r>
          </w:p>
        </w:tc>
        <w:tc>
          <w:tcPr>
            <w:tcW w:w="4100" w:type="dxa"/>
            <w:vAlign w:val="bottom"/>
            <w:gridSpan w:val="2"/>
            <w:shd w:val="clear" w:color="auto" w:fill="CCEEFF"/>
          </w:tcPr>
          <w:p>
            <w:pPr>
              <w:jc w:val="right"/>
              <w:ind w:right="215"/>
              <w:spacing w:after="0" w:line="196" w:lineRule="exact"/>
              <w:rPr>
                <w:sz w:val="20"/>
                <w:szCs w:val="20"/>
                <w:color w:val="auto"/>
              </w:rPr>
            </w:pPr>
            <w:r>
              <w:rPr>
                <w:rFonts w:ascii="Arial" w:cs="Arial" w:eastAsia="Arial" w:hAnsi="Arial"/>
                <w:sz w:val="18"/>
                <w:szCs w:val="18"/>
                <w:color w:val="auto"/>
              </w:rPr>
              <w:t>78,750</w:t>
            </w:r>
          </w:p>
        </w:tc>
        <w:tc>
          <w:tcPr>
            <w:tcW w:w="38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0.03</w:t>
            </w:r>
          </w:p>
        </w:tc>
      </w:tr>
      <w:tr>
        <w:trPr>
          <w:trHeight w:val="209"/>
        </w:trPr>
        <w:tc>
          <w:tcPr>
            <w:tcW w:w="5820" w:type="dxa"/>
            <w:vAlign w:val="bottom"/>
          </w:tcPr>
          <w:p>
            <w:pPr>
              <w:spacing w:after="0" w:line="202" w:lineRule="exact"/>
              <w:rPr>
                <w:sz w:val="20"/>
                <w:szCs w:val="20"/>
                <w:color w:val="auto"/>
              </w:rPr>
            </w:pPr>
            <w:r>
              <w:rPr>
                <w:rFonts w:ascii="Arial" w:cs="Arial" w:eastAsia="Arial" w:hAnsi="Arial"/>
                <w:sz w:val="18"/>
                <w:szCs w:val="18"/>
                <w:color w:val="auto"/>
              </w:rPr>
              <w:t>Common Units vested</w:t>
            </w:r>
          </w:p>
        </w:tc>
        <w:tc>
          <w:tcPr>
            <w:tcW w:w="3000" w:type="dxa"/>
            <w:vAlign w:val="bottom"/>
          </w:tcPr>
          <w:p>
            <w:pPr>
              <w:spacing w:after="0"/>
              <w:rPr>
                <w:sz w:val="18"/>
                <w:szCs w:val="18"/>
                <w:color w:val="auto"/>
              </w:rPr>
            </w:pPr>
          </w:p>
        </w:tc>
        <w:tc>
          <w:tcPr>
            <w:tcW w:w="1100" w:type="dxa"/>
            <w:vAlign w:val="bottom"/>
            <w:tcBorders>
              <w:bottom w:val="single" w:sz="8" w:color="auto"/>
            </w:tcBorders>
          </w:tcPr>
          <w:p>
            <w:pPr>
              <w:jc w:val="right"/>
              <w:ind w:right="155"/>
              <w:spacing w:after="0" w:line="202" w:lineRule="exact"/>
              <w:rPr>
                <w:sz w:val="20"/>
                <w:szCs w:val="20"/>
                <w:color w:val="auto"/>
              </w:rPr>
            </w:pPr>
            <w:r>
              <w:rPr>
                <w:rFonts w:ascii="Arial" w:cs="Arial" w:eastAsia="Arial" w:hAnsi="Arial"/>
                <w:sz w:val="18"/>
                <w:szCs w:val="18"/>
                <w:color w:val="auto"/>
              </w:rPr>
              <w:t>(78,750)</w:t>
            </w:r>
          </w:p>
        </w:tc>
        <w:tc>
          <w:tcPr>
            <w:tcW w:w="380" w:type="dxa"/>
            <w:vAlign w:val="bottom"/>
            <w:tcBorders>
              <w:bottom w:val="single" w:sz="8" w:color="auto"/>
            </w:tcBorders>
          </w:tcPr>
          <w:p>
            <w:pPr>
              <w:ind w:left="240"/>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r>
      <w:tr>
        <w:trPr>
          <w:trHeight w:val="203"/>
        </w:trPr>
        <w:tc>
          <w:tcPr>
            <w:tcW w:w="58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Unvested as of December 31, 2022</w:t>
            </w:r>
          </w:p>
        </w:tc>
        <w:tc>
          <w:tcPr>
            <w:tcW w:w="30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15"/>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bl>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13. Profits interests plan</w:t>
      </w:r>
    </w:p>
    <w:p>
      <w:pPr>
        <w:spacing w:after="0" w:line="135"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The Company grants profits interests under the 2019 Equity Incentive Plan, adopted on March 13, 2019 (the “2019 Plan”). The Company may grant profits interests with a threshold amount, which may be zero, established by the Board of Managers on the date of issuance. Accordingly, such profits interests do not give a holder a share of the proceeds if the Company’s assets were sold at fair market value and the proceeds of such disposition were distributed in complete liquidation of the Company immediately after the date of grant but give a holder a right to share in the appreciation in the value of a common unit from the date of receipt to the future, as specifically provided in the LLC Agreement. The 2019 Plan allows for grants of profits interests to the Company’s officers, employees, directors and consultants. Profits interests generally vest monthly over four years, with or without one- year cliff vesting in the first year. In the event of a profits interest holder’s termination, the unvested portion of such profits interest is automatically forfeited and cancelled without any additional consideration. Additionally, the Company has the right to repurchase the vested portion of such profits interest at its fair market value, which is based on the fair market value of a common unit (as determined by the Board of Managers), less the applicable profits interest threshold amount, at any time during the 12-month period after termination of a profits interest holder’s service to the Company.</w:t>
      </w:r>
    </w:p>
    <w:p>
      <w:pPr>
        <w:spacing w:after="0" w:line="118"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color w:val="auto"/>
        </w:rPr>
        <w:t>The number of common units reserved for issuance under the 2019 Plan was 6,020,644 and 14,604,165 at December 31, 2021, and 2022, respectively.</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presents a summary of activities and a reconciliation of common units authorized and remaining for grant under the 2019</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Plan during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1200" w:type="dxa"/>
            <w:vAlign w:val="bottom"/>
          </w:tcPr>
          <w:p>
            <w:pPr>
              <w:jc w:val="right"/>
              <w:ind w:right="194"/>
              <w:spacing w:after="0"/>
              <w:rPr>
                <w:sz w:val="20"/>
                <w:szCs w:val="20"/>
                <w:color w:val="auto"/>
              </w:rPr>
            </w:pPr>
            <w:r>
              <w:rPr>
                <w:rFonts w:ascii="Arial" w:cs="Arial" w:eastAsia="Arial" w:hAnsi="Arial"/>
                <w:sz w:val="16"/>
                <w:szCs w:val="16"/>
                <w:b w:val="1"/>
                <w:bCs w:val="1"/>
                <w:color w:val="auto"/>
              </w:rPr>
              <w:t>Units</w:t>
            </w:r>
          </w:p>
        </w:tc>
        <w:tc>
          <w:tcPr>
            <w:tcW w:w="13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Weighted-</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5980" w:type="dxa"/>
            <w:vAlign w:val="bottom"/>
          </w:tcPr>
          <w:p>
            <w:pPr>
              <w:spacing w:after="0"/>
              <w:rPr>
                <w:sz w:val="16"/>
                <w:szCs w:val="16"/>
                <w:color w:val="auto"/>
              </w:rPr>
            </w:pPr>
          </w:p>
        </w:tc>
        <w:tc>
          <w:tcPr>
            <w:tcW w:w="1200" w:type="dxa"/>
            <w:vAlign w:val="bottom"/>
          </w:tcPr>
          <w:p>
            <w:pPr>
              <w:jc w:val="right"/>
              <w:ind w:right="194"/>
              <w:spacing w:after="0"/>
              <w:rPr>
                <w:sz w:val="20"/>
                <w:szCs w:val="20"/>
                <w:color w:val="auto"/>
              </w:rPr>
            </w:pPr>
            <w:r>
              <w:rPr>
                <w:rFonts w:ascii="Arial" w:cs="Arial" w:eastAsia="Arial" w:hAnsi="Arial"/>
                <w:sz w:val="16"/>
                <w:szCs w:val="16"/>
                <w:b w:val="1"/>
                <w:bCs w:val="1"/>
                <w:color w:val="auto"/>
              </w:rPr>
              <w:t>available</w:t>
            </w: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right"/>
              <w:ind w:right="92"/>
              <w:spacing w:after="0"/>
              <w:rPr>
                <w:sz w:val="20"/>
                <w:szCs w:val="20"/>
                <w:color w:val="auto"/>
              </w:rPr>
            </w:pPr>
            <w:r>
              <w:rPr>
                <w:rFonts w:ascii="Arial" w:cs="Arial" w:eastAsia="Arial" w:hAnsi="Arial"/>
                <w:sz w:val="16"/>
                <w:szCs w:val="16"/>
                <w:b w:val="1"/>
                <w:bCs w:val="1"/>
                <w:color w:val="auto"/>
              </w:rPr>
              <w:t>average</w:t>
            </w:r>
          </w:p>
        </w:tc>
        <w:tc>
          <w:tcPr>
            <w:tcW w:w="380" w:type="dxa"/>
            <w:vAlign w:val="bottom"/>
          </w:tcPr>
          <w:p>
            <w:pPr>
              <w:spacing w:after="0"/>
              <w:rPr>
                <w:sz w:val="16"/>
                <w:szCs w:val="16"/>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980" w:type="dxa"/>
            <w:vAlign w:val="bottom"/>
          </w:tcPr>
          <w:p>
            <w:pPr>
              <w:spacing w:after="0"/>
              <w:rPr>
                <w:sz w:val="16"/>
                <w:szCs w:val="16"/>
                <w:color w:val="auto"/>
              </w:rPr>
            </w:pPr>
          </w:p>
        </w:tc>
        <w:tc>
          <w:tcPr>
            <w:tcW w:w="1200" w:type="dxa"/>
            <w:vAlign w:val="bottom"/>
          </w:tcPr>
          <w:p>
            <w:pPr>
              <w:jc w:val="right"/>
              <w:ind w:right="194"/>
              <w:spacing w:after="0"/>
              <w:rPr>
                <w:sz w:val="20"/>
                <w:szCs w:val="20"/>
                <w:color w:val="auto"/>
              </w:rPr>
            </w:pPr>
            <w:r>
              <w:rPr>
                <w:rFonts w:ascii="Arial" w:cs="Arial" w:eastAsia="Arial" w:hAnsi="Arial"/>
                <w:sz w:val="16"/>
                <w:szCs w:val="16"/>
                <w:b w:val="1"/>
                <w:bCs w:val="1"/>
                <w:color w:val="auto"/>
              </w:rPr>
              <w:t>for</w:t>
            </w:r>
          </w:p>
        </w:tc>
        <w:tc>
          <w:tcPr>
            <w:tcW w:w="1320" w:type="dxa"/>
            <w:vAlign w:val="bottom"/>
          </w:tcPr>
          <w:p>
            <w:pPr>
              <w:jc w:val="right"/>
              <w:ind w:right="152"/>
              <w:spacing w:after="0"/>
              <w:rPr>
                <w:sz w:val="20"/>
                <w:szCs w:val="20"/>
                <w:color w:val="auto"/>
              </w:rPr>
            </w:pPr>
            <w:r>
              <w:rPr>
                <w:rFonts w:ascii="Arial" w:cs="Arial" w:eastAsia="Arial" w:hAnsi="Arial"/>
                <w:sz w:val="16"/>
                <w:szCs w:val="16"/>
                <w:b w:val="1"/>
                <w:bCs w:val="1"/>
                <w:color w:val="auto"/>
              </w:rPr>
              <w:t>Profits</w:t>
            </w:r>
          </w:p>
        </w:tc>
        <w:tc>
          <w:tcPr>
            <w:tcW w:w="1160" w:type="dxa"/>
            <w:vAlign w:val="bottom"/>
            <w:gridSpan w:val="2"/>
          </w:tcPr>
          <w:p>
            <w:pPr>
              <w:jc w:val="right"/>
              <w:ind w:right="92"/>
              <w:spacing w:after="0"/>
              <w:rPr>
                <w:sz w:val="20"/>
                <w:szCs w:val="20"/>
                <w:color w:val="auto"/>
              </w:rPr>
            </w:pPr>
            <w:r>
              <w:rPr>
                <w:rFonts w:ascii="Arial" w:cs="Arial" w:eastAsia="Arial" w:hAnsi="Arial"/>
                <w:sz w:val="16"/>
                <w:szCs w:val="16"/>
                <w:b w:val="1"/>
                <w:bCs w:val="1"/>
                <w:color w:val="auto"/>
              </w:rPr>
              <w:t>threshold</w:t>
            </w:r>
          </w:p>
        </w:tc>
        <w:tc>
          <w:tcPr>
            <w:tcW w:w="136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intrinsic value</w:t>
            </w:r>
          </w:p>
        </w:tc>
      </w:tr>
      <w:tr>
        <w:trPr>
          <w:trHeight w:val="217"/>
        </w:trPr>
        <w:tc>
          <w:tcPr>
            <w:tcW w:w="59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grants</w:t>
            </w:r>
          </w:p>
        </w:tc>
        <w:tc>
          <w:tcPr>
            <w:tcW w:w="132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interests</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amount</w:t>
            </w:r>
          </w:p>
        </w:tc>
        <w:tc>
          <w:tcPr>
            <w:tcW w:w="136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(in thousands)</w:t>
            </w: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as of January 1, 2022</w:t>
            </w:r>
          </w:p>
        </w:tc>
        <w:tc>
          <w:tcPr>
            <w:tcW w:w="1200" w:type="dxa"/>
            <w:vAlign w:val="bottom"/>
            <w:shd w:val="clear" w:color="auto" w:fill="CCEEFF"/>
          </w:tcPr>
          <w:p>
            <w:pPr>
              <w:jc w:val="right"/>
              <w:ind w:right="194"/>
              <w:spacing w:after="0" w:line="196" w:lineRule="exact"/>
              <w:rPr>
                <w:sz w:val="20"/>
                <w:szCs w:val="20"/>
                <w:color w:val="auto"/>
              </w:rPr>
            </w:pPr>
            <w:r>
              <w:rPr>
                <w:rFonts w:ascii="Arial" w:cs="Arial" w:eastAsia="Arial" w:hAnsi="Arial"/>
                <w:sz w:val="18"/>
                <w:szCs w:val="18"/>
                <w:color w:val="auto"/>
              </w:rPr>
              <w:t>236,886</w:t>
            </w:r>
          </w:p>
        </w:tc>
        <w:tc>
          <w:tcPr>
            <w:tcW w:w="132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5,783,758</w:t>
            </w:r>
          </w:p>
        </w:tc>
        <w:tc>
          <w:tcPr>
            <w:tcW w:w="32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0.27</w:t>
            </w:r>
          </w:p>
        </w:tc>
        <w:tc>
          <w:tcPr>
            <w:tcW w:w="3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1,372</w:t>
            </w:r>
          </w:p>
        </w:tc>
        <w:tc>
          <w:tcPr>
            <w:tcW w:w="40" w:type="dxa"/>
            <w:vAlign w:val="bottom"/>
            <w:shd w:val="clear" w:color="auto" w:fill="CCEEFF"/>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Authorized</w:t>
            </w:r>
          </w:p>
        </w:tc>
        <w:tc>
          <w:tcPr>
            <w:tcW w:w="120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8,583,521</w:t>
            </w:r>
          </w:p>
        </w:tc>
        <w:tc>
          <w:tcPr>
            <w:tcW w:w="13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Profits interests granted</w:t>
            </w:r>
          </w:p>
        </w:tc>
        <w:tc>
          <w:tcPr>
            <w:tcW w:w="120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(2,763,356)</w:t>
            </w:r>
          </w:p>
        </w:tc>
        <w:tc>
          <w:tcPr>
            <w:tcW w:w="13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2,763,356</w:t>
            </w:r>
          </w:p>
        </w:tc>
        <w:tc>
          <w:tcPr>
            <w:tcW w:w="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3.20</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9"/>
        </w:trPr>
        <w:tc>
          <w:tcPr>
            <w:tcW w:w="5980" w:type="dxa"/>
            <w:vAlign w:val="bottom"/>
          </w:tcPr>
          <w:p>
            <w:pPr>
              <w:spacing w:after="0" w:line="202" w:lineRule="exact"/>
              <w:rPr>
                <w:sz w:val="20"/>
                <w:szCs w:val="20"/>
                <w:color w:val="auto"/>
              </w:rPr>
            </w:pPr>
            <w:r>
              <w:rPr>
                <w:rFonts w:ascii="Arial" w:cs="Arial" w:eastAsia="Arial" w:hAnsi="Arial"/>
                <w:sz w:val="18"/>
                <w:szCs w:val="18"/>
                <w:color w:val="auto"/>
              </w:rPr>
              <w:t>Forfeited and expired</w:t>
            </w:r>
          </w:p>
        </w:tc>
        <w:tc>
          <w:tcPr>
            <w:tcW w:w="1200" w:type="dxa"/>
            <w:vAlign w:val="bottom"/>
            <w:tcBorders>
              <w:bottom w:val="single" w:sz="8" w:color="auto"/>
            </w:tcBorders>
          </w:tcPr>
          <w:p>
            <w:pPr>
              <w:jc w:val="right"/>
              <w:ind w:right="194"/>
              <w:spacing w:after="0" w:line="202" w:lineRule="exact"/>
              <w:rPr>
                <w:sz w:val="20"/>
                <w:szCs w:val="20"/>
                <w:color w:val="auto"/>
              </w:rPr>
            </w:pPr>
            <w:r>
              <w:rPr>
                <w:rFonts w:ascii="Arial" w:cs="Arial" w:eastAsia="Arial" w:hAnsi="Arial"/>
                <w:sz w:val="18"/>
                <w:szCs w:val="18"/>
                <w:color w:val="auto"/>
              </w:rPr>
              <w:t>1,031,041</w:t>
            </w:r>
          </w:p>
        </w:tc>
        <w:tc>
          <w:tcPr>
            <w:tcW w:w="132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(1,031,041)</w:t>
            </w:r>
          </w:p>
        </w:tc>
        <w:tc>
          <w:tcPr>
            <w:tcW w:w="32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1.55</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as of December 31, 2022</w:t>
            </w:r>
          </w:p>
        </w:tc>
        <w:tc>
          <w:tcPr>
            <w:tcW w:w="120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7,088,092</w:t>
            </w:r>
          </w:p>
        </w:tc>
        <w:tc>
          <w:tcPr>
            <w:tcW w:w="13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7,516,073</w:t>
            </w:r>
          </w:p>
        </w:tc>
        <w:tc>
          <w:tcPr>
            <w:tcW w:w="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1.17</w:t>
            </w:r>
          </w:p>
        </w:tc>
        <w:tc>
          <w:tcPr>
            <w:tcW w:w="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34,398</w:t>
            </w:r>
          </w:p>
        </w:tc>
        <w:tc>
          <w:tcPr>
            <w:tcW w:w="40" w:type="dxa"/>
            <w:vAlign w:val="bottom"/>
            <w:shd w:val="clear" w:color="auto" w:fill="CCEEFF"/>
          </w:tcPr>
          <w:p>
            <w:pPr>
              <w:spacing w:after="0"/>
              <w:rPr>
                <w:sz w:val="17"/>
                <w:szCs w:val="17"/>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Vested and expected to vest</w:t>
            </w:r>
          </w:p>
        </w:tc>
        <w:tc>
          <w:tcPr>
            <w:tcW w:w="12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rPr>
              <w:t>7,088,092</w:t>
            </w:r>
          </w:p>
        </w:tc>
        <w:tc>
          <w:tcPr>
            <w:tcW w:w="13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7,516,073</w:t>
            </w:r>
          </w:p>
        </w:tc>
        <w:tc>
          <w:tcPr>
            <w:tcW w:w="3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1.17</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34,398</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-7620</wp:posOffset>
            </wp:positionV>
            <wp:extent cx="342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96"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color w:val="auto"/>
        </w:rPr>
        <w:t>The aggregate intrinsic value is calculated as the positive difference between the threshold amount of the profits interests and the fair value of the Company’s common unit as of December 31, 2021 and 2022.</w:t>
      </w:r>
    </w:p>
    <w:p>
      <w:pPr>
        <w:spacing w:after="0" w:line="86" w:lineRule="exact"/>
        <w:rPr>
          <w:sz w:val="20"/>
          <w:szCs w:val="20"/>
          <w:color w:val="auto"/>
        </w:rPr>
      </w:pPr>
    </w:p>
    <w:p>
      <w:pPr>
        <w:jc w:val="both"/>
        <w:ind w:left="120" w:right="280"/>
        <w:spacing w:after="0" w:line="253" w:lineRule="auto"/>
        <w:rPr>
          <w:sz w:val="20"/>
          <w:szCs w:val="20"/>
          <w:color w:val="auto"/>
        </w:rPr>
      </w:pPr>
      <w:r>
        <w:rPr>
          <w:rFonts w:ascii="Arial" w:cs="Arial" w:eastAsia="Arial" w:hAnsi="Arial"/>
          <w:sz w:val="18"/>
          <w:szCs w:val="18"/>
          <w:color w:val="auto"/>
        </w:rPr>
        <w:t>During the years ended December 31, 2021 and 2022, the Company granted 3,550,854 and 2,763,356 profits interests with a weighted average grant date fair value of $1.03 and $1.90, respectively. The total fair value of the profits interests vested during the years ended December 31, 2021 and 2022 was $0.2 million and $1.1 million, respectively.</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5" w:right="4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Unit-based compensation expense</w:t>
      </w:r>
    </w:p>
    <w:p>
      <w:pPr>
        <w:spacing w:after="0" w:line="142"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color w:val="auto"/>
        </w:rPr>
        <w:t>The Company estimated the fair value of profits interests on the grant date using the Black-Scholes option-pricing model based on the following assumptions for the years ended December 31,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400" w:type="dxa"/>
            <w:vAlign w:val="bottom"/>
            <w:gridSpan w:val="3"/>
          </w:tcPr>
          <w:p>
            <w:pPr>
              <w:ind w:left="320"/>
              <w:spacing w:after="0"/>
              <w:rPr>
                <w:sz w:val="20"/>
                <w:szCs w:val="20"/>
                <w:color w:val="auto"/>
              </w:rPr>
            </w:pPr>
            <w:r>
              <w:rPr>
                <w:rFonts w:ascii="Arial" w:cs="Arial" w:eastAsia="Arial" w:hAnsi="Arial"/>
                <w:sz w:val="16"/>
                <w:szCs w:val="16"/>
                <w:b w:val="1"/>
                <w:bCs w:val="1"/>
                <w:color w:val="auto"/>
              </w:rPr>
              <w:t>Years ended December 31</w:t>
            </w:r>
          </w:p>
        </w:tc>
      </w:tr>
      <w:tr>
        <w:trPr>
          <w:trHeight w:val="183"/>
        </w:trPr>
        <w:tc>
          <w:tcPr>
            <w:tcW w:w="666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840" w:type="dxa"/>
            <w:vAlign w:val="bottom"/>
            <w:tcBorders>
              <w:top w:val="single" w:sz="8" w:color="auto"/>
              <w:bottom w:val="single" w:sz="8" w:color="auto"/>
            </w:tcBorders>
          </w:tcPr>
          <w:p>
            <w:pPr>
              <w:jc w:val="right"/>
              <w:ind w:right="252"/>
              <w:spacing w:after="0" w:line="183" w:lineRule="exact"/>
              <w:rPr>
                <w:sz w:val="20"/>
                <w:szCs w:val="20"/>
                <w:color w:val="auto"/>
              </w:rPr>
            </w:pPr>
            <w:r>
              <w:rPr>
                <w:rFonts w:ascii="Arial" w:cs="Arial" w:eastAsia="Arial" w:hAnsi="Arial"/>
                <w:sz w:val="16"/>
                <w:szCs w:val="16"/>
                <w:b w:val="1"/>
                <w:bCs w:val="1"/>
                <w:color w:val="auto"/>
              </w:rPr>
              <w:t>2021</w:t>
            </w:r>
          </w:p>
        </w:tc>
        <w:tc>
          <w:tcPr>
            <w:tcW w:w="82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5"/>
                <w:szCs w:val="15"/>
                <w:color w:val="auto"/>
              </w:rPr>
            </w:pPr>
          </w:p>
        </w:tc>
      </w:tr>
      <w:tr>
        <w:trPr>
          <w:trHeight w:val="196"/>
        </w:trPr>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w w:val="98"/>
              </w:rPr>
              <w:t>79.62% — 91.19%</w:t>
            </w:r>
          </w:p>
        </w:tc>
        <w:tc>
          <w:tcPr>
            <w:tcW w:w="8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w w:val="99"/>
              </w:rPr>
              <w:t>79.57% — 82.60%</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20" w:type="dxa"/>
            <w:vAlign w:val="bottom"/>
          </w:tcPr>
          <w:p>
            <w:pPr>
              <w:spacing w:after="0"/>
              <w:rPr>
                <w:sz w:val="17"/>
                <w:szCs w:val="17"/>
                <w:color w:val="auto"/>
              </w:rPr>
            </w:pPr>
          </w:p>
        </w:tc>
        <w:tc>
          <w:tcPr>
            <w:tcW w:w="18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0%</w:t>
            </w:r>
          </w:p>
        </w:tc>
        <w:tc>
          <w:tcPr>
            <w:tcW w:w="820" w:type="dxa"/>
            <w:vAlign w:val="bottom"/>
          </w:tcPr>
          <w:p>
            <w:pPr>
              <w:spacing w:after="0"/>
              <w:rPr>
                <w:sz w:val="17"/>
                <w:szCs w:val="17"/>
                <w:color w:val="auto"/>
              </w:rPr>
            </w:pPr>
          </w:p>
        </w:tc>
        <w:tc>
          <w:tcPr>
            <w:tcW w:w="1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3"/>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(in years)</w:t>
            </w: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2.66 — 6.63</w:t>
            </w:r>
          </w:p>
        </w:tc>
        <w:tc>
          <w:tcPr>
            <w:tcW w:w="8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3.51 — 4.00</w:t>
            </w: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20" w:type="dxa"/>
            <w:vAlign w:val="bottom"/>
          </w:tcPr>
          <w:p>
            <w:pPr>
              <w:spacing w:after="0"/>
              <w:rPr>
                <w:sz w:val="17"/>
                <w:szCs w:val="17"/>
                <w:color w:val="auto"/>
              </w:rPr>
            </w:pPr>
          </w:p>
        </w:tc>
        <w:tc>
          <w:tcPr>
            <w:tcW w:w="18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0.18% — 0.94%</w:t>
            </w:r>
          </w:p>
        </w:tc>
        <w:tc>
          <w:tcPr>
            <w:tcW w:w="820" w:type="dxa"/>
            <w:vAlign w:val="bottom"/>
          </w:tcPr>
          <w:p>
            <w:pPr>
              <w:spacing w:after="0"/>
              <w:rPr>
                <w:sz w:val="17"/>
                <w:szCs w:val="17"/>
                <w:color w:val="auto"/>
              </w:rPr>
            </w:pPr>
          </w:p>
        </w:tc>
        <w:tc>
          <w:tcPr>
            <w:tcW w:w="1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2.65% — 4.33%</w:t>
            </w:r>
          </w:p>
        </w:tc>
      </w:tr>
      <w:tr>
        <w:trPr>
          <w:trHeight w:val="203"/>
        </w:trPr>
        <w:tc>
          <w:tcPr>
            <w:tcW w:w="66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Threshold range</w:t>
            </w: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0.34 — $0.51</w:t>
            </w: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3.20</w:t>
            </w:r>
          </w:p>
        </w:tc>
      </w:tr>
    </w:tbl>
    <w:p>
      <w:pPr>
        <w:spacing w:after="0" w:line="130"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b w:val="1"/>
          <w:bCs w:val="1"/>
          <w:i w:val="1"/>
          <w:iCs w:val="1"/>
          <w:color w:val="auto"/>
        </w:rPr>
        <w:t>Expected volatility</w:t>
      </w:r>
      <w:r>
        <w:rPr>
          <w:rFonts w:ascii="Arial" w:cs="Arial" w:eastAsia="Arial" w:hAnsi="Arial"/>
          <w:sz w:val="18"/>
          <w:szCs w:val="18"/>
          <w:color w:val="auto"/>
        </w:rPr>
        <w:t>—The Company is a private company and lacks company-specific historical and implied volatility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Therefore, the Company estimates its expected unit’s volatility based on the historical volatility of a publicly traded set of peer companies and expect to continue to do so until the Company has adequate historical data regarding the volatility of the Company’s traded unit or stock price.</w:t>
      </w:r>
    </w:p>
    <w:p>
      <w:pPr>
        <w:spacing w:after="0" w:line="93"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—The expected term of profits interests has been determined based on the expected time to liquidity and expected vesting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w:t>
      </w:r>
    </w:p>
    <w:p>
      <w:pPr>
        <w:spacing w:after="0" w:line="86"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color w:val="auto"/>
        </w:rPr>
        <w:t>—The risk-free interest rate is determined by reference to the U.S. Treasury yield curve in effect at the time of grant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award for time periods approximately equal to the expected term of the award.</w:t>
      </w:r>
    </w:p>
    <w:p>
      <w:pPr>
        <w:spacing w:after="0" w:line="86"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—Expected dividend yield is zero because the Company does not pay cash dividends on common units and does not expect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 any cash dividends in the foreseeable future.</w:t>
      </w:r>
    </w:p>
    <w:p>
      <w:pPr>
        <w:spacing w:after="0" w:line="7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The grant date fair value of common units utilized in the Black-Scholes model is determined by the Company’s Board of Managers with the assistance of management. The grant date fair value of common units is determined using valuation methodologies which utilizes certain assumptions including probability weighting of expected exit events, volatility, time to liquidation, a risk-free interest rate and an assumption for a discount for lack of marketability. In determining the fair value of the common units, the methodologies used to estimate the enterprise value were performed using methodologies, approaches, and assumptions consistent with the American Institute of Certified Public Accountants Accounting and Valuation Guide, Valuation of Privately-Held-Company Equity Securities Issued as Compensation.</w:t>
      </w:r>
    </w:p>
    <w:p>
      <w:pPr>
        <w:spacing w:after="0" w:line="117"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The following table presents the classification of unit -based compensation expense for the years ended December 31, 2021 and 2022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4"/>
          </w:tcPr>
          <w:p>
            <w:pPr>
              <w:ind w:left="300"/>
              <w:spacing w:after="0"/>
              <w:rPr>
                <w:sz w:val="20"/>
                <w:szCs w:val="20"/>
                <w:color w:val="auto"/>
              </w:rPr>
            </w:pPr>
            <w:r>
              <w:rPr>
                <w:rFonts w:ascii="Arial" w:cs="Arial" w:eastAsia="Arial" w:hAnsi="Arial"/>
                <w:sz w:val="16"/>
                <w:szCs w:val="16"/>
                <w:b w:val="1"/>
                <w:bCs w:val="1"/>
                <w:color w:val="auto"/>
              </w:rPr>
              <w:t>Years ended</w:t>
            </w:r>
          </w:p>
        </w:tc>
      </w:tr>
      <w:tr>
        <w:trPr>
          <w:trHeight w:val="203"/>
        </w:trPr>
        <w:tc>
          <w:tcPr>
            <w:tcW w:w="424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4"/>
          </w:tcPr>
          <w:p>
            <w:pPr>
              <w:jc w:val="center"/>
              <w:ind w:left="54"/>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4240" w:type="dxa"/>
            <w:vAlign w:val="bottom"/>
            <w:tcBorders>
              <w:bottom w:val="single" w:sz="8" w:color="auto"/>
            </w:tcBorders>
          </w:tcPr>
          <w:p>
            <w:pPr>
              <w:spacing w:after="0"/>
              <w:rPr>
                <w:sz w:val="15"/>
                <w:szCs w:val="15"/>
                <w:color w:val="auto"/>
              </w:rPr>
            </w:pPr>
          </w:p>
        </w:tc>
        <w:tc>
          <w:tcPr>
            <w:tcW w:w="5360" w:type="dxa"/>
            <w:vAlign w:val="bottom"/>
            <w:tcBorders>
              <w:bottom w:val="single" w:sz="8" w:color="auto"/>
            </w:tcBorders>
          </w:tcPr>
          <w:p>
            <w:pPr>
              <w:spacing w:after="0"/>
              <w:rPr>
                <w:sz w:val="15"/>
                <w:szCs w:val="15"/>
                <w:color w:val="auto"/>
              </w:rPr>
            </w:pPr>
          </w:p>
        </w:tc>
        <w:tc>
          <w:tcPr>
            <w:tcW w:w="600" w:type="dxa"/>
            <w:vAlign w:val="bottom"/>
            <w:tcBorders>
              <w:top w:val="single" w:sz="8" w:color="auto"/>
              <w:bottom w:val="single" w:sz="8" w:color="auto"/>
            </w:tcBorders>
            <w:gridSpan w:val="2"/>
          </w:tcPr>
          <w:p>
            <w:pPr>
              <w:jc w:val="right"/>
              <w:ind w:right="94"/>
              <w:spacing w:after="0" w:line="183" w:lineRule="exact"/>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5"/>
                <w:szCs w:val="15"/>
                <w:color w:val="auto"/>
              </w:rPr>
            </w:pP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expenses</w:t>
            </w:r>
          </w:p>
        </w:tc>
        <w:tc>
          <w:tcPr>
            <w:tcW w:w="5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754</w:t>
            </w:r>
          </w:p>
        </w:tc>
      </w:tr>
      <w:tr>
        <w:trPr>
          <w:trHeight w:val="209"/>
        </w:trPr>
        <w:tc>
          <w:tcPr>
            <w:tcW w:w="424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5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94"/>
              <w:spacing w:after="0" w:line="202" w:lineRule="exact"/>
              <w:rPr>
                <w:sz w:val="20"/>
                <w:szCs w:val="20"/>
                <w:color w:val="auto"/>
              </w:rPr>
            </w:pPr>
            <w:r>
              <w:rPr>
                <w:rFonts w:ascii="Arial" w:cs="Arial" w:eastAsia="Arial" w:hAnsi="Arial"/>
                <w:sz w:val="18"/>
                <w:szCs w:val="18"/>
                <w:color w:val="auto"/>
                <w:w w:val="99"/>
              </w:rPr>
              <w:t>285</w:t>
            </w: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1,208</w:t>
            </w:r>
          </w:p>
        </w:tc>
        <w:tc>
          <w:tcPr>
            <w:tcW w:w="60" w:type="dxa"/>
            <w:vAlign w:val="bottom"/>
          </w:tcPr>
          <w:p>
            <w:pPr>
              <w:spacing w:after="0"/>
              <w:rPr>
                <w:sz w:val="18"/>
                <w:szCs w:val="18"/>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unit-based compensation expense</w:t>
            </w:r>
          </w:p>
        </w:tc>
        <w:tc>
          <w:tcPr>
            <w:tcW w:w="5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w w:val="99"/>
              </w:rPr>
              <w:t>375</w:t>
            </w:r>
          </w:p>
        </w:tc>
        <w:tc>
          <w:tcPr>
            <w:tcW w:w="30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7"/>
              </w:rPr>
              <w:t>1,962</w:t>
            </w:r>
          </w:p>
        </w:tc>
      </w:tr>
      <w:tr>
        <w:trPr>
          <w:trHeight w:val="20"/>
        </w:trPr>
        <w:tc>
          <w:tcPr>
            <w:tcW w:w="42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546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4240" w:type="dxa"/>
            <w:vAlign w:val="bottom"/>
          </w:tcPr>
          <w:p>
            <w:pPr>
              <w:spacing w:after="0"/>
              <w:rPr>
                <w:sz w:val="24"/>
                <w:szCs w:val="24"/>
                <w:color w:val="auto"/>
              </w:rPr>
            </w:pPr>
          </w:p>
        </w:tc>
        <w:tc>
          <w:tcPr>
            <w:tcW w:w="5460" w:type="dxa"/>
            <w:vAlign w:val="bottom"/>
            <w:gridSpan w:val="2"/>
          </w:tcPr>
          <w:p>
            <w:pPr>
              <w:jc w:val="right"/>
              <w:ind w:right="3939"/>
              <w:spacing w:after="0"/>
              <w:rPr>
                <w:sz w:val="20"/>
                <w:szCs w:val="20"/>
                <w:color w:val="auto"/>
              </w:rPr>
            </w:pPr>
            <w:r>
              <w:rPr>
                <w:rFonts w:ascii="Arial" w:cs="Arial" w:eastAsia="Arial" w:hAnsi="Arial"/>
                <w:sz w:val="18"/>
                <w:szCs w:val="18"/>
                <w:color w:val="auto"/>
              </w:rPr>
              <w:t>F-38</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-241935</wp:posOffset>
            </wp:positionV>
            <wp:extent cx="342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color w:val="auto"/>
        </w:rPr>
        <w:t>The above unit-based compensation expense related to the following unit-based awards for the years ended December 31, 2021 and 2022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3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Years ended</w:t>
            </w:r>
          </w:p>
        </w:tc>
      </w:tr>
      <w:tr>
        <w:trPr>
          <w:trHeight w:val="203"/>
        </w:trPr>
        <w:tc>
          <w:tcPr>
            <w:tcW w:w="63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638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97"/>
              <w:spacing w:after="0" w:line="183" w:lineRule="exact"/>
              <w:rPr>
                <w:sz w:val="20"/>
                <w:szCs w:val="20"/>
                <w:color w:val="auto"/>
              </w:rPr>
            </w:pPr>
            <w:r>
              <w:rPr>
                <w:rFonts w:ascii="Arial" w:cs="Arial" w:eastAsia="Arial" w:hAnsi="Arial"/>
                <w:sz w:val="16"/>
                <w:szCs w:val="16"/>
                <w:b w:val="1"/>
                <w:bCs w:val="1"/>
                <w:color w:val="auto"/>
              </w:rPr>
              <w:t>2021</w:t>
            </w: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5"/>
                <w:szCs w:val="15"/>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Profits Interests</w:t>
            </w:r>
          </w:p>
        </w:tc>
        <w:tc>
          <w:tcPr>
            <w:tcW w:w="3820" w:type="dxa"/>
            <w:vAlign w:val="bottom"/>
            <w:gridSpan w:val="2"/>
            <w:shd w:val="clear" w:color="auto" w:fill="CCEEFF"/>
          </w:tcPr>
          <w:p>
            <w:pPr>
              <w:jc w:val="right"/>
              <w:ind w:right="97"/>
              <w:spacing w:after="0" w:line="196" w:lineRule="exact"/>
              <w:rPr>
                <w:sz w:val="20"/>
                <w:szCs w:val="20"/>
                <w:color w:val="auto"/>
              </w:rPr>
            </w:pPr>
            <w:r>
              <w:rPr>
                <w:rFonts w:ascii="Arial" w:cs="Arial" w:eastAsia="Arial" w:hAnsi="Arial"/>
                <w:sz w:val="18"/>
                <w:szCs w:val="18"/>
                <w:color w:val="auto"/>
              </w:rPr>
              <w:t>$365</w:t>
            </w:r>
          </w:p>
        </w:tc>
        <w:tc>
          <w:tcPr>
            <w:tcW w:w="8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$1,960</w:t>
            </w:r>
          </w:p>
        </w:tc>
      </w:tr>
      <w:tr>
        <w:trPr>
          <w:trHeight w:val="209"/>
        </w:trPr>
        <w:tc>
          <w:tcPr>
            <w:tcW w:w="6380" w:type="dxa"/>
            <w:vAlign w:val="bottom"/>
          </w:tcPr>
          <w:p>
            <w:pPr>
              <w:spacing w:after="0" w:line="202" w:lineRule="exact"/>
              <w:rPr>
                <w:sz w:val="20"/>
                <w:szCs w:val="20"/>
                <w:color w:val="auto"/>
              </w:rPr>
            </w:pPr>
            <w:r>
              <w:rPr>
                <w:rFonts w:ascii="Arial" w:cs="Arial" w:eastAsia="Arial" w:hAnsi="Arial"/>
                <w:sz w:val="18"/>
                <w:szCs w:val="18"/>
                <w:color w:val="auto"/>
              </w:rPr>
              <w:t>Common Units</w:t>
            </w:r>
          </w:p>
        </w:tc>
        <w:tc>
          <w:tcPr>
            <w:tcW w:w="3220" w:type="dxa"/>
            <w:vAlign w:val="bottom"/>
          </w:tcPr>
          <w:p>
            <w:pPr>
              <w:spacing w:after="0"/>
              <w:rPr>
                <w:sz w:val="18"/>
                <w:szCs w:val="18"/>
                <w:color w:val="auto"/>
              </w:rPr>
            </w:pPr>
          </w:p>
        </w:tc>
        <w:tc>
          <w:tcPr>
            <w:tcW w:w="600" w:type="dxa"/>
            <w:vAlign w:val="bottom"/>
            <w:tcBorders>
              <w:bottom w:val="single" w:sz="8" w:color="auto"/>
            </w:tcBorders>
          </w:tcPr>
          <w:p>
            <w:pPr>
              <w:jc w:val="right"/>
              <w:ind w:right="97"/>
              <w:spacing w:after="0" w:line="202" w:lineRule="exact"/>
              <w:rPr>
                <w:sz w:val="20"/>
                <w:szCs w:val="20"/>
                <w:color w:val="auto"/>
              </w:rPr>
            </w:pPr>
            <w:r>
              <w:rPr>
                <w:rFonts w:ascii="Arial" w:cs="Arial" w:eastAsia="Arial" w:hAnsi="Arial"/>
                <w:sz w:val="18"/>
                <w:szCs w:val="18"/>
                <w:color w:val="auto"/>
              </w:rPr>
              <w:t>10</w:t>
            </w: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unit-based compensation expense</w:t>
            </w:r>
          </w:p>
        </w:tc>
        <w:tc>
          <w:tcPr>
            <w:tcW w:w="3820" w:type="dxa"/>
            <w:vAlign w:val="bottom"/>
            <w:gridSpan w:val="2"/>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$375</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$1,962</w:t>
            </w:r>
          </w:p>
        </w:tc>
      </w:tr>
      <w:tr>
        <w:trPr>
          <w:trHeight w:val="20"/>
        </w:trPr>
        <w:tc>
          <w:tcPr>
            <w:tcW w:w="63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-7620</wp:posOffset>
            </wp:positionV>
            <wp:extent cx="342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10"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There was $3.3 million and $5.7 million in unrecognized unit-based compensation expense related to the profits interests as of December 31, 2021 and 2022, respectively, that was expected to be recognized over a weighted-average period of 3.81 and 3.03 years, respectively. There was less than $0.1 million unrecognized unit-based compensation expense related to the common units with vesting conditions as of December 31, 2021, that was expected to be recognized over a weighted-average period of 0.2 years. As of December 31, 2022, there was no unrecognized expense related to the common units with vesting conditions.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14. Related party transactions</w:t>
      </w:r>
    </w:p>
    <w:p>
      <w:pPr>
        <w:spacing w:after="0" w:line="148"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The Company’s former chief business officer was a founder, and a chief executive officer of Affini-T. Affini-T was a related party when the Company exercised significant influence until November 2021. In November 2021, certain common stock shares were forfeited, and the chief business officer resigned from the Company. As of December 31, 2021, Affini-T is no longer a related party of the Company (see Note 5).</w:t>
      </w:r>
    </w:p>
    <w:p>
      <w:pPr>
        <w:spacing w:after="0" w:line="106"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Bayer Healthcare LLC (“Bayer”) is a significant investor in the Company and has a Board seat. The Company and Bayer entered into a research and development master service agreement in November 2019. Bayer was performing research and development services under the agreement in accordance with the statement of works agreed by the parties. Services under this agreement were completed as of December 31, 2020, and the Company accrued $0.2 million in accrued expenses and other current liabilities as of December 31, 2020. The Company paid $0.2 million to Bayer in February and March 2021 and there were no other services provided by Bayer to the Company during the years ended December 31, 2021 and December 31, 2022.</w:t>
      </w:r>
    </w:p>
    <w:p>
      <w:pPr>
        <w:spacing w:after="0" w:line="98"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In connection with Series B and Series B-1 financings, the Company reimbursed certain investors for finance issuance costs that they incurred totaling $0.4 million. As of December 31, 2022, $0.1 million of Series B-1 financing costs reimbursable to investors is recorded in accrued expenses and other current liabilities in the consolidated balance sheets.</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15. Income taxes</w:t>
      </w:r>
    </w:p>
    <w:p>
      <w:pPr>
        <w:spacing w:after="0" w:line="135"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Metagenomi is treated as a partnership for tax purposes, and thus, is not subject to income taxes. It is the responsibility of the LLC members to report their proportionate share of any taxable income or loss generated by Metagenomi to the appropriate taxing authorities and pay the associated taxes, if any. With respect to the Company’s subsidiary, Metagenomi Inc. is a corporation for tax purposes and is subject to income taxes which have been included in the consolidated financial statements. All pre-tax losses have been incurred in the United States.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5" w:right="4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the year ended December 31, 2022, income tax expense consisted of the following (in thousands):</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10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5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r>
      <w:tr>
        <w:trPr>
          <w:trHeight w:val="203"/>
        </w:trPr>
        <w:tc>
          <w:tcPr>
            <w:tcW w:w="1040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$2,569</w:t>
            </w:r>
          </w:p>
        </w:tc>
      </w:tr>
      <w:tr>
        <w:trPr>
          <w:trHeight w:val="203"/>
        </w:trPr>
        <w:tc>
          <w:tcPr>
            <w:tcW w:w="10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State</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32"/>
        </w:trPr>
        <w:tc>
          <w:tcPr>
            <w:tcW w:w="10400" w:type="dxa"/>
            <w:vAlign w:val="bottom"/>
          </w:tcPr>
          <w:p>
            <w:pPr>
              <w:spacing w:after="0"/>
              <w:rPr>
                <w:sz w:val="20"/>
                <w:szCs w:val="20"/>
                <w:color w:val="auto"/>
              </w:rPr>
            </w:pPr>
            <w:r>
              <w:rPr>
                <w:rFonts w:ascii="Arial" w:cs="Arial" w:eastAsia="Arial" w:hAnsi="Arial"/>
                <w:sz w:val="18"/>
                <w:szCs w:val="18"/>
                <w:color w:val="auto"/>
              </w:rPr>
              <w:t>Total current tax expense</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60" w:type="dxa"/>
            <w:vAlign w:val="bottom"/>
          </w:tcPr>
          <w:p>
            <w:pPr>
              <w:spacing w:after="0"/>
              <w:rPr>
                <w:sz w:val="20"/>
                <w:szCs w:val="20"/>
                <w:color w:val="auto"/>
              </w:rPr>
            </w:pPr>
          </w:p>
        </w:tc>
      </w:tr>
      <w:tr>
        <w:trPr>
          <w:trHeight w:val="45"/>
        </w:trPr>
        <w:tc>
          <w:tcPr>
            <w:tcW w:w="10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3"/>
        </w:trPr>
        <w:tc>
          <w:tcPr>
            <w:tcW w:w="10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Deferred:</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040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State</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Total deferred tax expense</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10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tax expense</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2,569</w:t>
            </w:r>
          </w:p>
        </w:tc>
      </w:tr>
      <w:tr>
        <w:trPr>
          <w:trHeight w:val="20"/>
        </w:trPr>
        <w:tc>
          <w:tcPr>
            <w:tcW w:w="10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10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-7620</wp:posOffset>
            </wp:positionV>
            <wp:extent cx="342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10"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The Company recognized an income tax provision of $2.6 million for the year ended December 31, 2022 as a result of their taxable income related to an upfront payment received under the Moderna Agreement and capitalization of their research and development expenses under the newly enacted Internal Revenue Code Section 174 (“Section 174”), which became effective on January 1, 2022. Section 174 changed the tax treatment of research and experimentation (R&amp;E) expenditures, which requires the capitalization of R&amp;E expenditures over a period of five years for R&amp;E paid or incurred in the United States and 15 years for R&amp;E paid or incurred outside of the United States.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the year ended December 31, 2021, the Company had no income tax expense, and all losses were from the U.S.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effective tax rate of the Company’s provision for income taxes differs from the federal statutory rate of 21% for the years ended</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2021 and 2022,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302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Years ended December 31,</w:t>
            </w:r>
          </w:p>
        </w:tc>
      </w:tr>
      <w:tr>
        <w:trPr>
          <w:trHeight w:val="183"/>
        </w:trPr>
        <w:tc>
          <w:tcPr>
            <w:tcW w:w="8000" w:type="dxa"/>
            <w:vAlign w:val="bottom"/>
            <w:tcBorders>
              <w:bottom w:val="single" w:sz="8" w:color="auto"/>
            </w:tcBorders>
          </w:tcPr>
          <w:p>
            <w:pPr>
              <w:spacing w:after="0"/>
              <w:rPr>
                <w:sz w:val="15"/>
                <w:szCs w:val="15"/>
                <w:color w:val="auto"/>
              </w:rPr>
            </w:pPr>
          </w:p>
        </w:tc>
        <w:tc>
          <w:tcPr>
            <w:tcW w:w="1680" w:type="dxa"/>
            <w:vAlign w:val="bottom"/>
            <w:tcBorders>
              <w:top w:val="single" w:sz="8" w:color="auto"/>
              <w:bottom w:val="single" w:sz="8" w:color="auto"/>
            </w:tcBorders>
          </w:tcPr>
          <w:p>
            <w:pPr>
              <w:jc w:val="right"/>
              <w:ind w:right="692"/>
              <w:spacing w:after="0" w:line="183" w:lineRule="exact"/>
              <w:rPr>
                <w:sz w:val="20"/>
                <w:szCs w:val="20"/>
                <w:color w:val="auto"/>
              </w:rPr>
            </w:pPr>
            <w:r>
              <w:rPr>
                <w:rFonts w:ascii="Arial" w:cs="Arial" w:eastAsia="Arial" w:hAnsi="Arial"/>
                <w:sz w:val="16"/>
                <w:szCs w:val="16"/>
                <w:b w:val="1"/>
                <w:bCs w:val="1"/>
                <w:color w:val="auto"/>
              </w:rPr>
              <w:t>2021</w:t>
            </w: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5"/>
                <w:szCs w:val="15"/>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Statutory rate</w:t>
            </w:r>
          </w:p>
        </w:tc>
        <w:tc>
          <w:tcPr>
            <w:tcW w:w="1680" w:type="dxa"/>
            <w:vAlign w:val="bottom"/>
            <w:shd w:val="clear" w:color="auto" w:fill="CCEEFF"/>
          </w:tcPr>
          <w:p>
            <w:pPr>
              <w:jc w:val="right"/>
              <w:ind w:right="472"/>
              <w:spacing w:after="0" w:line="196" w:lineRule="exact"/>
              <w:rPr>
                <w:sz w:val="20"/>
                <w:szCs w:val="20"/>
                <w:color w:val="auto"/>
              </w:rPr>
            </w:pPr>
            <w:r>
              <w:rPr>
                <w:rFonts w:ascii="Arial" w:cs="Arial" w:eastAsia="Arial" w:hAnsi="Arial"/>
                <w:sz w:val="18"/>
                <w:szCs w:val="18"/>
                <w:color w:val="auto"/>
              </w:rPr>
              <w:t>21.00 %</w:t>
            </w:r>
          </w:p>
        </w:tc>
        <w:tc>
          <w:tcPr>
            <w:tcW w:w="13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21.00 %</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Nontaxable LLC losses</w:t>
            </w:r>
          </w:p>
        </w:tc>
        <w:tc>
          <w:tcPr>
            <w:tcW w:w="1680" w:type="dxa"/>
            <w:vAlign w:val="bottom"/>
          </w:tcPr>
          <w:p>
            <w:pPr>
              <w:jc w:val="right"/>
              <w:ind w:right="472"/>
              <w:spacing w:after="0" w:line="202" w:lineRule="exact"/>
              <w:rPr>
                <w:sz w:val="20"/>
                <w:szCs w:val="20"/>
                <w:color w:val="auto"/>
              </w:rPr>
            </w:pPr>
            <w:r>
              <w:rPr>
                <w:rFonts w:ascii="Arial" w:cs="Arial" w:eastAsia="Arial" w:hAnsi="Arial"/>
                <w:sz w:val="18"/>
                <w:szCs w:val="18"/>
                <w:color w:val="auto"/>
              </w:rPr>
              <w:t>(15.99)%</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(0.13)%</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tax rate</w:t>
            </w:r>
          </w:p>
        </w:tc>
        <w:tc>
          <w:tcPr>
            <w:tcW w:w="1680" w:type="dxa"/>
            <w:vAlign w:val="bottom"/>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1.60 %</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9.73 %</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Permanent and other adjustments</w:t>
            </w:r>
          </w:p>
        </w:tc>
        <w:tc>
          <w:tcPr>
            <w:tcW w:w="1680" w:type="dxa"/>
            <w:vAlign w:val="bottom"/>
          </w:tcPr>
          <w:p>
            <w:pPr>
              <w:jc w:val="right"/>
              <w:ind w:right="472"/>
              <w:spacing w:after="0" w:line="202" w:lineRule="exact"/>
              <w:rPr>
                <w:sz w:val="20"/>
                <w:szCs w:val="20"/>
                <w:color w:val="auto"/>
              </w:rPr>
            </w:pPr>
            <w:r>
              <w:rPr>
                <w:rFonts w:ascii="Arial" w:cs="Arial" w:eastAsia="Arial" w:hAnsi="Arial"/>
                <w:sz w:val="18"/>
                <w:szCs w:val="18"/>
                <w:color w:val="auto"/>
              </w:rPr>
              <w:t>(0.12)%</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(1.31)%</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680" w:type="dxa"/>
            <w:vAlign w:val="bottom"/>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(6.49)%</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(41.02)%</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Research credits</w:t>
            </w:r>
          </w:p>
        </w:tc>
        <w:tc>
          <w:tcPr>
            <w:tcW w:w="1680" w:type="dxa"/>
            <w:vAlign w:val="bottom"/>
          </w:tcPr>
          <w:p>
            <w:pPr>
              <w:jc w:val="right"/>
              <w:ind w:right="472"/>
              <w:spacing w:after="0" w:line="202" w:lineRule="exact"/>
              <w:rPr>
                <w:sz w:val="20"/>
                <w:szCs w:val="20"/>
                <w:color w:val="auto"/>
              </w:rPr>
            </w:pPr>
            <w:r>
              <w:rPr>
                <w:rFonts w:ascii="Arial" w:cs="Arial" w:eastAsia="Arial" w:hAnsi="Arial"/>
                <w:sz w:val="18"/>
                <w:szCs w:val="18"/>
                <w:color w:val="auto"/>
              </w:rPr>
              <w:t>0.00 %</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5.47 %</w:t>
            </w:r>
          </w:p>
        </w:tc>
      </w:tr>
      <w:tr>
        <w:trPr>
          <w:trHeight w:val="27"/>
        </w:trPr>
        <w:tc>
          <w:tcPr>
            <w:tcW w:w="800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03"/>
        </w:trPr>
        <w:tc>
          <w:tcPr>
            <w:tcW w:w="80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w:t>
            </w:r>
          </w:p>
        </w:tc>
        <w:tc>
          <w:tcPr>
            <w:tcW w:w="1680" w:type="dxa"/>
            <w:vAlign w:val="bottom"/>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0.00 %</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(6.26)%</w:t>
            </w:r>
          </w:p>
        </w:tc>
      </w:tr>
      <w:tr>
        <w:trPr>
          <w:trHeight w:val="20"/>
        </w:trPr>
        <w:tc>
          <w:tcPr>
            <w:tcW w:w="80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Significant components of the deferred tax assets for federal and state income taxes as of December 31, 2021 and 2022,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7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Years ended</w:t>
            </w:r>
          </w:p>
        </w:tc>
      </w:tr>
      <w:tr>
        <w:trPr>
          <w:trHeight w:val="203"/>
        </w:trPr>
        <w:tc>
          <w:tcPr>
            <w:tcW w:w="47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4780" w:type="dxa"/>
            <w:vAlign w:val="bottom"/>
            <w:tcBorders>
              <w:bottom w:val="single" w:sz="8" w:color="auto"/>
            </w:tcBorders>
          </w:tcPr>
          <w:p>
            <w:pPr>
              <w:spacing w:after="0"/>
              <w:rPr>
                <w:sz w:val="15"/>
                <w:szCs w:val="15"/>
                <w:color w:val="auto"/>
              </w:rPr>
            </w:pPr>
          </w:p>
        </w:tc>
        <w:tc>
          <w:tcPr>
            <w:tcW w:w="4480" w:type="dxa"/>
            <w:vAlign w:val="bottom"/>
            <w:tcBorders>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2021</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5"/>
                <w:szCs w:val="15"/>
                <w:color w:val="auto"/>
              </w:rPr>
            </w:pPr>
          </w:p>
        </w:tc>
      </w:tr>
      <w:tr>
        <w:trPr>
          <w:trHeight w:val="196"/>
        </w:trPr>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4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4780" w:type="dxa"/>
            <w:vAlign w:val="bottom"/>
          </w:tcPr>
          <w:p>
            <w:pPr>
              <w:ind w:left="360"/>
              <w:spacing w:after="0" w:line="202" w:lineRule="exact"/>
              <w:rPr>
                <w:sz w:val="20"/>
                <w:szCs w:val="20"/>
                <w:color w:val="auto"/>
              </w:rPr>
            </w:pPr>
            <w:r>
              <w:rPr>
                <w:rFonts w:ascii="Arial" w:cs="Arial" w:eastAsia="Arial" w:hAnsi="Arial"/>
                <w:sz w:val="18"/>
                <w:szCs w:val="18"/>
                <w:color w:val="auto"/>
              </w:rPr>
              <w:t>Net operating loss carry forwards</w:t>
            </w:r>
          </w:p>
        </w:tc>
        <w:tc>
          <w:tcPr>
            <w:tcW w:w="5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$1,601</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   655</w:t>
            </w:r>
          </w:p>
        </w:tc>
      </w:tr>
      <w:tr>
        <w:trPr>
          <w:trHeight w:val="203"/>
        </w:trPr>
        <w:tc>
          <w:tcPr>
            <w:tcW w:w="47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credits</w:t>
            </w:r>
          </w:p>
        </w:tc>
        <w:tc>
          <w:tcPr>
            <w:tcW w:w="5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232</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1,568</w:t>
            </w:r>
          </w:p>
        </w:tc>
      </w:tr>
      <w:tr>
        <w:trPr>
          <w:trHeight w:val="203"/>
        </w:trPr>
        <w:tc>
          <w:tcPr>
            <w:tcW w:w="4780" w:type="dxa"/>
            <w:vAlign w:val="bottom"/>
          </w:tcPr>
          <w:p>
            <w:pPr>
              <w:ind w:left="360"/>
              <w:spacing w:after="0" w:line="202" w:lineRule="exact"/>
              <w:rPr>
                <w:sz w:val="20"/>
                <w:szCs w:val="20"/>
                <w:color w:val="auto"/>
              </w:rPr>
            </w:pPr>
            <w:r>
              <w:rPr>
                <w:rFonts w:ascii="Arial" w:cs="Arial" w:eastAsia="Arial" w:hAnsi="Arial"/>
                <w:sz w:val="18"/>
                <w:szCs w:val="18"/>
                <w:color w:val="auto"/>
              </w:rPr>
              <w:t>Reserves and accruals</w:t>
            </w:r>
          </w:p>
        </w:tc>
        <w:tc>
          <w:tcPr>
            <w:tcW w:w="5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618</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1,326</w:t>
            </w:r>
          </w:p>
        </w:tc>
      </w:tr>
      <w:tr>
        <w:trPr>
          <w:trHeight w:val="203"/>
        </w:trPr>
        <w:tc>
          <w:tcPr>
            <w:tcW w:w="47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Lease liability</w:t>
            </w:r>
          </w:p>
        </w:tc>
        <w:tc>
          <w:tcPr>
            <w:tcW w:w="5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5,226</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5,199</w:t>
            </w:r>
          </w:p>
        </w:tc>
      </w:tr>
      <w:tr>
        <w:trPr>
          <w:trHeight w:val="203"/>
        </w:trPr>
        <w:tc>
          <w:tcPr>
            <w:tcW w:w="4780" w:type="dxa"/>
            <w:vAlign w:val="bottom"/>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44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8,465</w:t>
            </w:r>
          </w:p>
        </w:tc>
      </w:tr>
      <w:tr>
        <w:trPr>
          <w:trHeight w:val="203"/>
        </w:trPr>
        <w:tc>
          <w:tcPr>
            <w:tcW w:w="47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Capitalized research and development expenses</w:t>
            </w:r>
          </w:p>
        </w:tc>
        <w:tc>
          <w:tcPr>
            <w:tcW w:w="44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8,901</w:t>
            </w:r>
          </w:p>
        </w:tc>
      </w:tr>
      <w:tr>
        <w:trPr>
          <w:trHeight w:val="210"/>
        </w:trPr>
        <w:tc>
          <w:tcPr>
            <w:tcW w:w="478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44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7,677</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26,114</w:t>
            </w:r>
          </w:p>
        </w:tc>
        <w:tc>
          <w:tcPr>
            <w:tcW w:w="60" w:type="dxa"/>
            <w:vAlign w:val="bottom"/>
          </w:tcPr>
          <w:p>
            <w:pPr>
              <w:spacing w:after="0"/>
              <w:rPr>
                <w:sz w:val="18"/>
                <w:szCs w:val="18"/>
                <w:color w:val="auto"/>
              </w:rPr>
            </w:pPr>
          </w:p>
        </w:tc>
      </w:tr>
      <w:tr>
        <w:trPr>
          <w:trHeight w:val="375"/>
        </w:trPr>
        <w:tc>
          <w:tcPr>
            <w:tcW w:w="4780" w:type="dxa"/>
            <w:vAlign w:val="bottom"/>
          </w:tcPr>
          <w:p>
            <w:pPr>
              <w:spacing w:after="0"/>
              <w:rPr>
                <w:sz w:val="24"/>
                <w:szCs w:val="24"/>
                <w:color w:val="auto"/>
              </w:rPr>
            </w:pPr>
          </w:p>
        </w:tc>
        <w:tc>
          <w:tcPr>
            <w:tcW w:w="5080" w:type="dxa"/>
            <w:vAlign w:val="bottom"/>
            <w:gridSpan w:val="2"/>
          </w:tcPr>
          <w:p>
            <w:pPr>
              <w:jc w:val="right"/>
              <w:ind w:right="4092"/>
              <w:spacing w:after="0"/>
              <w:rPr>
                <w:sz w:val="20"/>
                <w:szCs w:val="20"/>
                <w:color w:val="auto"/>
              </w:rPr>
            </w:pPr>
            <w:r>
              <w:rPr>
                <w:rFonts w:ascii="Arial" w:cs="Arial" w:eastAsia="Arial" w:hAnsi="Arial"/>
                <w:sz w:val="18"/>
                <w:szCs w:val="18"/>
                <w:color w:val="auto"/>
              </w:rPr>
              <w:t>F-40</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Years ended</w:t>
            </w:r>
          </w:p>
        </w:tc>
      </w:tr>
      <w:tr>
        <w:trPr>
          <w:trHeight w:val="203"/>
        </w:trPr>
        <w:tc>
          <w:tcPr>
            <w:tcW w:w="8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8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172"/>
              <w:spacing w:after="0" w:line="183" w:lineRule="exact"/>
              <w:rPr>
                <w:sz w:val="20"/>
                <w:szCs w:val="20"/>
                <w:color w:val="auto"/>
              </w:rPr>
            </w:pPr>
            <w:r>
              <w:rPr>
                <w:rFonts w:ascii="Arial" w:cs="Arial" w:eastAsia="Arial" w:hAnsi="Arial"/>
                <w:sz w:val="16"/>
                <w:szCs w:val="16"/>
                <w:b w:val="1"/>
                <w:bCs w:val="1"/>
                <w:color w:val="auto"/>
              </w:rPr>
              <w:t>2021</w:t>
            </w:r>
          </w:p>
        </w:tc>
        <w:tc>
          <w:tcPr>
            <w:tcW w:w="6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48"/>
        </w:trPr>
        <w:tc>
          <w:tcPr>
            <w:tcW w:w="8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Deferred Tax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740" w:type="dxa"/>
            <w:vAlign w:val="bottom"/>
          </w:tcPr>
          <w:p>
            <w:pPr>
              <w:ind w:left="360"/>
              <w:spacing w:after="0" w:line="202" w:lineRule="exact"/>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(607)</w:t>
            </w:r>
          </w:p>
        </w:tc>
        <w:tc>
          <w:tcPr>
            <w:tcW w:w="660" w:type="dxa"/>
            <w:vAlign w:val="bottom"/>
          </w:tcPr>
          <w:p>
            <w:pPr>
              <w:spacing w:after="0"/>
              <w:rPr>
                <w:sz w:val="17"/>
                <w:szCs w:val="17"/>
                <w:color w:val="auto"/>
              </w:rPr>
            </w:pPr>
          </w:p>
        </w:tc>
        <w:tc>
          <w:tcPr>
            <w:tcW w:w="7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(2,583)</w:t>
            </w:r>
          </w:p>
        </w:tc>
      </w:tr>
      <w:tr>
        <w:trPr>
          <w:trHeight w:val="203"/>
        </w:trPr>
        <w:tc>
          <w:tcPr>
            <w:tcW w:w="8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Right-of-use asset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8"/>
              </w:rPr>
              <w:t>(5,051)</w:t>
            </w:r>
          </w:p>
        </w:tc>
        <w:tc>
          <w:tcPr>
            <w:tcW w:w="6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(4,685)</w:t>
            </w:r>
          </w:p>
        </w:tc>
      </w:tr>
      <w:tr>
        <w:trPr>
          <w:trHeight w:val="217"/>
        </w:trPr>
        <w:tc>
          <w:tcPr>
            <w:tcW w:w="8740" w:type="dxa"/>
            <w:vAlign w:val="bottom"/>
          </w:tcPr>
          <w:p>
            <w:pPr>
              <w:ind w:left="360"/>
              <w:spacing w:after="0"/>
              <w:rPr>
                <w:sz w:val="20"/>
                <w:szCs w:val="20"/>
                <w:color w:val="auto"/>
              </w:rPr>
            </w:pPr>
            <w:r>
              <w:rPr>
                <w:rFonts w:ascii="Arial" w:cs="Arial" w:eastAsia="Arial" w:hAnsi="Arial"/>
                <w:sz w:val="18"/>
                <w:szCs w:val="18"/>
                <w:color w:val="auto"/>
              </w:rPr>
              <w:t>Total gross deferred tax liabilities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8"/>
              </w:rPr>
              <w:t>(5,658)</w:t>
            </w:r>
          </w:p>
        </w:tc>
        <w:tc>
          <w:tcPr>
            <w:tcW w:w="6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8"/>
              </w:rPr>
              <w:t>(2,019)</w:t>
            </w:r>
          </w:p>
        </w:tc>
        <w:tc>
          <w:tcPr>
            <w:tcW w:w="6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(18,846)</w:t>
            </w:r>
          </w:p>
        </w:tc>
      </w:tr>
      <w:tr>
        <w:trPr>
          <w:trHeight w:val="209"/>
        </w:trPr>
        <w:tc>
          <w:tcPr>
            <w:tcW w:w="874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8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A valuation allowance is required to be established when it is more likely than not that all or a portion of a deferred tax asset will not be realized. Realization of deferred tax assets is dependent upon future earnings, the timing and amount of which are uncertain. Metagenomi Inc. believes that, based on a number of factors such as the history of operating losses, it is more likely than not that the deferred tax assets will not be fully realized, such that a full valuation allowance has been recorded. The valuation allowance increased by $1.4 million and $16.8 million for the years ended December 31, 2021 and 2022, respectively, primarily due to the increase in deferred revenue and capitalization of research and development expenses under newly enacted Section 174.</w:t>
      </w:r>
    </w:p>
    <w:p>
      <w:pPr>
        <w:spacing w:after="0" w:line="111" w:lineRule="exact"/>
        <w:rPr>
          <w:sz w:val="20"/>
          <w:szCs w:val="20"/>
          <w:color w:val="auto"/>
        </w:rPr>
      </w:pPr>
    </w:p>
    <w:p>
      <w:pPr>
        <w:jc w:val="both"/>
        <w:ind w:left="120" w:right="300"/>
        <w:spacing w:after="0" w:line="253" w:lineRule="auto"/>
        <w:rPr>
          <w:sz w:val="20"/>
          <w:szCs w:val="20"/>
          <w:color w:val="auto"/>
        </w:rPr>
      </w:pPr>
      <w:r>
        <w:rPr>
          <w:rFonts w:ascii="Arial" w:cs="Arial" w:eastAsia="Arial" w:hAnsi="Arial"/>
          <w:sz w:val="18"/>
          <w:szCs w:val="18"/>
          <w:color w:val="auto"/>
        </w:rPr>
        <w:t>As of December 31, 2022, Metagenomi Inc. had $0.02 million and $8.3 million of net operating loss carryforwards for federal and state income tax purposes, respectively. Federal net operating loss carryforwards do not expire. State net operating loss carryforwards begin expiring in 2037.</w:t>
      </w:r>
    </w:p>
    <w:p>
      <w:pPr>
        <w:spacing w:after="0" w:line="88"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color w:val="auto"/>
        </w:rPr>
        <w:t>As of December 31, 2022, Metagenomi Inc. had $0 and $2.8 million of research credit carryforwards for federal and state income tax purposes, respectively. State research credit carryforwards do not expire and can be carried forward indefinitely.</w:t>
      </w:r>
    </w:p>
    <w:p>
      <w:pPr>
        <w:spacing w:after="0" w:line="86"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Utilization of some of the federal and state net operating losses and credit carryforwards may be subject to annual limitations due to the change in ownership provisions of the Internal Revenue Code of 1986 (“Internal Revenue Code”) and similar state provisions. The annual limitation may result in the expiration of net operating losses and credits before utilization. As of December 31, 2022, the Company has completed an IRC Section 382 analysis from inception through the year ended December 31, 2022. The Company experienced two ownership changes in August 2019 and January 2022. Net operating losses generated prior to December 31, 2017, of $0.3 million are permanently limited for federal tax purposes. Net federal operating losses generated after December 31, 2017 are not limited as they can be carried forward indefinitely, subject to an 80% income limitation. Net operating losses of $0.1 million are permanently limited for California tax purposes.</w:t>
      </w:r>
    </w:p>
    <w:p>
      <w:pPr>
        <w:spacing w:after="0" w:line="113"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Metagenomi Inc. uses the “more likely than not” criterion for recognizing the income tax benefit of uncertain income tax positions and establishing measurement criteria for income tax benefits. Although it is reasonably possible that certain unrecognized tax benefits may increase or decrease within the next twelve months due to tax examination changes, settlement activities, expirations of statute of limitations, or the impact on recognition and measurement considerations related to the results of published tax cases or other similar activities, Metagenomi Inc. does not anticipate significant changes to unrecognized tax benefits over the next 12 months. During the years ended December 31, 2021 and 2022, no interest or penalties were recognized relating to unrecognized tax benefits. In the event Metagenomi Inc. should need to recognize interest and penalties related to unrecognized income tax liabilities, this amount will be recorded as an accrued liability and an increase to income tax expense.</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5" w:right="4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The changes in the balance of gross unrecognized tax benefits, which excludes interest and penalties, for the years ended December 31, 2021 and 2022,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520" w:type="dxa"/>
            <w:vAlign w:val="bottom"/>
          </w:tcPr>
          <w:p>
            <w:pPr>
              <w:spacing w:after="0"/>
              <w:rPr>
                <w:sz w:val="16"/>
                <w:szCs w:val="16"/>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Years ended</w:t>
            </w:r>
          </w:p>
        </w:tc>
      </w:tr>
      <w:tr>
        <w:trPr>
          <w:trHeight w:val="203"/>
        </w:trPr>
        <w:tc>
          <w:tcPr>
            <w:tcW w:w="9520" w:type="dxa"/>
            <w:vAlign w:val="bottom"/>
          </w:tcPr>
          <w:p>
            <w:pPr>
              <w:spacing w:after="0"/>
              <w:rPr>
                <w:sz w:val="17"/>
                <w:szCs w:val="17"/>
                <w:color w:val="auto"/>
              </w:rPr>
            </w:pPr>
          </w:p>
        </w:tc>
        <w:tc>
          <w:tcPr>
            <w:tcW w:w="1500" w:type="dxa"/>
            <w:vAlign w:val="bottom"/>
            <w:gridSpan w:val="4"/>
          </w:tcPr>
          <w:p>
            <w:pPr>
              <w:jc w:val="center"/>
              <w:ind w:left="113"/>
              <w:spacing w:after="0"/>
              <w:rPr>
                <w:sz w:val="20"/>
                <w:szCs w:val="20"/>
                <w:color w:val="auto"/>
              </w:rPr>
            </w:pPr>
            <w:r>
              <w:rPr>
                <w:rFonts w:ascii="Arial" w:cs="Arial" w:eastAsia="Arial" w:hAnsi="Arial"/>
                <w:sz w:val="16"/>
                <w:szCs w:val="16"/>
                <w:b w:val="1"/>
                <w:bCs w:val="1"/>
                <w:color w:val="auto"/>
              </w:rPr>
              <w:t>December 31,</w:t>
            </w:r>
          </w:p>
        </w:tc>
      </w:tr>
      <w:tr>
        <w:trPr>
          <w:trHeight w:val="182"/>
        </w:trPr>
        <w:tc>
          <w:tcPr>
            <w:tcW w:w="9520" w:type="dxa"/>
            <w:vAlign w:val="bottom"/>
            <w:tcBorders>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13"/>
              <w:spacing w:after="0" w:line="183" w:lineRule="exact"/>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5"/>
                <w:szCs w:val="15"/>
                <w:color w:val="auto"/>
              </w:rPr>
            </w:pPr>
          </w:p>
        </w:tc>
      </w:tr>
      <w:tr>
        <w:trPr>
          <w:trHeight w:val="196"/>
        </w:trPr>
        <w:tc>
          <w:tcPr>
            <w:tcW w:w="9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620" w:type="dxa"/>
            <w:vAlign w:val="bottom"/>
            <w:shd w:val="clear" w:color="auto" w:fill="CCEEFF"/>
          </w:tcPr>
          <w:p>
            <w:pPr>
              <w:jc w:val="right"/>
              <w:ind w:right="113"/>
              <w:spacing w:after="0" w:line="196" w:lineRule="exact"/>
              <w:rPr>
                <w:sz w:val="20"/>
                <w:szCs w:val="20"/>
                <w:color w:val="auto"/>
              </w:rPr>
            </w:pPr>
            <w:r>
              <w:rPr>
                <w:rFonts w:ascii="Arial" w:cs="Arial" w:eastAsia="Arial" w:hAnsi="Arial"/>
                <w:sz w:val="18"/>
                <w:szCs w:val="18"/>
                <w:color w:val="auto"/>
                <w:w w:val="99"/>
              </w:rPr>
              <w:t>$131</w:t>
            </w:r>
          </w:p>
        </w:tc>
        <w:tc>
          <w:tcPr>
            <w:tcW w:w="300" w:type="dxa"/>
            <w:vAlign w:val="bottom"/>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131</w:t>
            </w:r>
          </w:p>
        </w:tc>
      </w:tr>
      <w:tr>
        <w:trPr>
          <w:trHeight w:val="203"/>
        </w:trPr>
        <w:tc>
          <w:tcPr>
            <w:tcW w:w="9520" w:type="dxa"/>
            <w:vAlign w:val="bottom"/>
          </w:tcPr>
          <w:p>
            <w:pPr>
              <w:spacing w:after="0" w:line="202" w:lineRule="exact"/>
              <w:rPr>
                <w:sz w:val="20"/>
                <w:szCs w:val="20"/>
                <w:color w:val="auto"/>
              </w:rPr>
            </w:pPr>
            <w:r>
              <w:rPr>
                <w:rFonts w:ascii="Arial" w:cs="Arial" w:eastAsia="Arial" w:hAnsi="Arial"/>
                <w:sz w:val="18"/>
                <w:szCs w:val="18"/>
                <w:color w:val="auto"/>
              </w:rPr>
              <w:t>Gross increases—tax position in current period</w:t>
            </w:r>
          </w:p>
        </w:tc>
        <w:tc>
          <w:tcPr>
            <w:tcW w:w="6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7"/>
              </w:rPr>
              <w:t>1,231</w:t>
            </w:r>
          </w:p>
        </w:tc>
      </w:tr>
      <w:tr>
        <w:trPr>
          <w:trHeight w:val="203"/>
        </w:trPr>
        <w:tc>
          <w:tcPr>
            <w:tcW w:w="9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increases—tax position in prior periods</w:t>
            </w:r>
          </w:p>
        </w:tc>
        <w:tc>
          <w:tcPr>
            <w:tcW w:w="62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426</w:t>
            </w:r>
          </w:p>
        </w:tc>
      </w:tr>
      <w:tr>
        <w:trPr>
          <w:trHeight w:val="209"/>
        </w:trPr>
        <w:tc>
          <w:tcPr>
            <w:tcW w:w="9520" w:type="dxa"/>
            <w:vAlign w:val="bottom"/>
          </w:tcPr>
          <w:p>
            <w:pPr>
              <w:spacing w:after="0" w:line="202" w:lineRule="exact"/>
              <w:rPr>
                <w:sz w:val="20"/>
                <w:szCs w:val="20"/>
                <w:color w:val="auto"/>
              </w:rPr>
            </w:pPr>
            <w:r>
              <w:rPr>
                <w:rFonts w:ascii="Arial" w:cs="Arial" w:eastAsia="Arial" w:hAnsi="Arial"/>
                <w:sz w:val="18"/>
                <w:szCs w:val="18"/>
                <w:color w:val="auto"/>
              </w:rPr>
              <w:t>Reductions for tax positions of prior years</w:t>
            </w:r>
          </w:p>
        </w:tc>
        <w:tc>
          <w:tcPr>
            <w:tcW w:w="6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w:t>
            </w:r>
          </w:p>
        </w:tc>
      </w:tr>
      <w:tr>
        <w:trPr>
          <w:trHeight w:val="203"/>
        </w:trPr>
        <w:tc>
          <w:tcPr>
            <w:tcW w:w="9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620" w:type="dxa"/>
            <w:vAlign w:val="bottom"/>
            <w:tcBorders>
              <w:top w:val="single" w:sz="8" w:color="auto"/>
              <w:bottom w:val="single" w:sz="8" w:color="auto"/>
            </w:tcBorders>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w w:val="99"/>
              </w:rPr>
              <w:t>$131</w:t>
            </w:r>
          </w:p>
        </w:tc>
        <w:tc>
          <w:tcPr>
            <w:tcW w:w="300" w:type="dxa"/>
            <w:vAlign w:val="bottom"/>
            <w:tcBorders>
              <w:top w:val="single" w:sz="8" w:color="auto"/>
              <w:bottom w:val="single" w:sz="8" w:color="auto"/>
            </w:tcBorders>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1,755</w:t>
            </w:r>
          </w:p>
        </w:tc>
        <w:tc>
          <w:tcPr>
            <w:tcW w:w="120" w:type="dxa"/>
            <w:vAlign w:val="bottom"/>
            <w:shd w:val="clear" w:color="auto" w:fill="CCEEFF"/>
          </w:tcPr>
          <w:p>
            <w:pPr>
              <w:spacing w:after="0"/>
              <w:rPr>
                <w:sz w:val="17"/>
                <w:szCs w:val="17"/>
                <w:color w:val="auto"/>
              </w:rPr>
            </w:pPr>
          </w:p>
        </w:tc>
      </w:tr>
      <w:tr>
        <w:trPr>
          <w:trHeight w:val="20"/>
        </w:trPr>
        <w:tc>
          <w:tcPr>
            <w:tcW w:w="9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9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Metagenomi Inc. files tax returns in the U.S. and California. Metagenomi Inc. is not currently under examination in any of these jurisdictions and all its tax years remain effectively open to examination due to net operating losses from inception. Metagenomi Inc. recognized $1.0 million of uncertain tax positions as other non-current liabilities and $0.8 million was netted against deferred tax assets.</w:t>
      </w:r>
    </w:p>
    <w:p>
      <w:pPr>
        <w:spacing w:after="0" w:line="84" w:lineRule="exact"/>
        <w:rPr>
          <w:sz w:val="20"/>
          <w:szCs w:val="20"/>
          <w:color w:val="auto"/>
        </w:rPr>
      </w:pPr>
    </w:p>
    <w:p>
      <w:pPr>
        <w:ind w:left="120" w:right="440"/>
        <w:spacing w:after="0" w:line="253" w:lineRule="auto"/>
        <w:rPr>
          <w:sz w:val="20"/>
          <w:szCs w:val="20"/>
          <w:color w:val="auto"/>
        </w:rPr>
      </w:pPr>
      <w:r>
        <w:rPr>
          <w:rFonts w:ascii="Arial" w:cs="Arial" w:eastAsia="Arial" w:hAnsi="Arial"/>
          <w:sz w:val="18"/>
          <w:szCs w:val="18"/>
          <w:color w:val="auto"/>
        </w:rPr>
        <w:t>In accordance with the Tax Cuts and Jobs Act of 2017, research and experimental (R&amp;E) expenses under Internal Revenue Code Section 174 are required to be capitalized beginning in 2022. R&amp;E expenses are required to be amortized over a period of 5 years for domestic expenses and 15 years for foreign expenses.</w:t>
      </w:r>
    </w:p>
    <w:p>
      <w:pPr>
        <w:spacing w:after="0" w:line="88"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auto"/>
        </w:rPr>
        <w:t>On August 16, 2022, President Biden signed into law the Inflation Reduction Act of 2022, which includes an Alternative Minimum Tax based on the Adjusted Financial Statement Income of Applicable Corporations. Based on an initial evaluation, the Company does not believe the Inflation Reduction Act will have a material impact on the income tax provision and cash taxes. The Company will continue to monitor the changes in tax laws and regulations to evaluate their potential impact on the business.</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16. Net loss per unit</w:t>
      </w:r>
    </w:p>
    <w:p>
      <w:pPr>
        <w:spacing w:after="0" w:line="135"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color w:val="auto"/>
        </w:rPr>
        <w:t>Basic and diluted net loss per unit attributable to common unitholders is calculated as follows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6"/>
          </w:tcPr>
          <w:p>
            <w:pPr>
              <w:jc w:val="right"/>
              <w:ind w:right="120"/>
              <w:spacing w:after="0"/>
              <w:rPr>
                <w:sz w:val="20"/>
                <w:szCs w:val="20"/>
                <w:color w:val="auto"/>
              </w:rPr>
            </w:pPr>
            <w:r>
              <w:rPr>
                <w:rFonts w:ascii="Arial" w:cs="Arial" w:eastAsia="Arial" w:hAnsi="Arial"/>
                <w:sz w:val="16"/>
                <w:szCs w:val="16"/>
                <w:b w:val="1"/>
                <w:bCs w:val="1"/>
                <w:color w:val="auto"/>
              </w:rPr>
              <w:t>Years ended December 31</w:t>
            </w:r>
          </w:p>
        </w:tc>
      </w:tr>
      <w:tr>
        <w:trPr>
          <w:trHeight w:val="183"/>
        </w:trPr>
        <w:tc>
          <w:tcPr>
            <w:tcW w:w="84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jc w:val="right"/>
              <w:ind w:right="340"/>
              <w:spacing w:after="0" w:line="183" w:lineRule="exact"/>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5"/>
                <w:szCs w:val="15"/>
                <w:color w:val="auto"/>
              </w:rPr>
            </w:pPr>
          </w:p>
        </w:tc>
      </w:tr>
      <w:tr>
        <w:trPr>
          <w:trHeight w:val="48"/>
        </w:trPr>
        <w:tc>
          <w:tcPr>
            <w:tcW w:w="8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20" w:type="dxa"/>
            <w:vAlign w:val="bottom"/>
          </w:tcPr>
          <w:p>
            <w:pPr>
              <w:ind w:left="180"/>
              <w:spacing w:after="0" w:line="202" w:lineRule="exact"/>
              <w:rPr>
                <w:sz w:val="20"/>
                <w:szCs w:val="20"/>
                <w:color w:val="auto"/>
              </w:rPr>
            </w:pPr>
            <w:r>
              <w:rPr>
                <w:rFonts w:ascii="Arial" w:cs="Arial" w:eastAsia="Arial" w:hAnsi="Arial"/>
                <w:sz w:val="18"/>
                <w:szCs w:val="18"/>
                <w:color w:val="auto"/>
              </w:rPr>
              <w:t>Net loss attributable to common members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(21,442)</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(43,593)</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1"/>
        </w:trPr>
        <w:tc>
          <w:tcPr>
            <w:tcW w:w="8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3"/>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20" w:type="dxa"/>
            <w:vAlign w:val="bottom"/>
          </w:tcPr>
          <w:p>
            <w:pPr>
              <w:ind w:left="180"/>
              <w:spacing w:after="0" w:line="202" w:lineRule="exact"/>
              <w:rPr>
                <w:sz w:val="20"/>
                <w:szCs w:val="20"/>
                <w:color w:val="auto"/>
              </w:rPr>
            </w:pPr>
            <w:r>
              <w:rPr>
                <w:rFonts w:ascii="Arial" w:cs="Arial" w:eastAsia="Arial" w:hAnsi="Arial"/>
                <w:sz w:val="18"/>
                <w:szCs w:val="18"/>
                <w:color w:val="auto"/>
              </w:rPr>
              <w:t>Weighted average common units outstanding</w:t>
            </w:r>
          </w:p>
        </w:tc>
        <w:tc>
          <w:tcPr>
            <w:tcW w:w="10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9"/>
              </w:rPr>
              <w:t>5,947,500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5,947,500</w:t>
            </w:r>
          </w:p>
        </w:tc>
      </w:tr>
      <w:tr>
        <w:trPr>
          <w:trHeight w:val="203"/>
        </w:trPr>
        <w:tc>
          <w:tcPr>
            <w:tcW w:w="84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Less: Weighted-average unvested common units subject to repurchase</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(256,069)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(8,846)</w:t>
            </w:r>
          </w:p>
        </w:tc>
      </w:tr>
      <w:tr>
        <w:trPr>
          <w:trHeight w:val="210"/>
        </w:trPr>
        <w:tc>
          <w:tcPr>
            <w:tcW w:w="8420" w:type="dxa"/>
            <w:vAlign w:val="bottom"/>
          </w:tcPr>
          <w:p>
            <w:pPr>
              <w:ind w:left="180"/>
              <w:spacing w:after="0"/>
              <w:rPr>
                <w:sz w:val="20"/>
                <w:szCs w:val="20"/>
                <w:color w:val="auto"/>
              </w:rPr>
            </w:pPr>
            <w:r>
              <w:rPr>
                <w:rFonts w:ascii="Arial" w:cs="Arial" w:eastAsia="Arial" w:hAnsi="Arial"/>
                <w:sz w:val="18"/>
                <w:szCs w:val="18"/>
                <w:color w:val="auto"/>
              </w:rPr>
              <w:t>Weighted average units used to computing basic and diluted net loss per share</w:t>
            </w: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9"/>
              </w:rPr>
              <w:t>5,691,431</w:t>
            </w:r>
          </w:p>
        </w:tc>
        <w:tc>
          <w:tcPr>
            <w:tcW w:w="3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5,938,654</w:t>
            </w:r>
          </w:p>
        </w:tc>
        <w:tc>
          <w:tcPr>
            <w:tcW w:w="120" w:type="dxa"/>
            <w:vAlign w:val="bottom"/>
          </w:tcPr>
          <w:p>
            <w:pPr>
              <w:spacing w:after="0"/>
              <w:rPr>
                <w:sz w:val="18"/>
                <w:szCs w:val="18"/>
                <w:color w:val="auto"/>
              </w:rPr>
            </w:pPr>
          </w:p>
        </w:tc>
      </w:tr>
      <w:tr>
        <w:trPr>
          <w:trHeight w:val="20"/>
        </w:trPr>
        <w:tc>
          <w:tcPr>
            <w:tcW w:w="8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unit attributable to common unitholders—basic and diluted: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(3.77)</w:t>
            </w: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(7.34)</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8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363"/>
        </w:trPr>
        <w:tc>
          <w:tcPr>
            <w:tcW w:w="8420" w:type="dxa"/>
            <w:vAlign w:val="bottom"/>
          </w:tcPr>
          <w:p>
            <w:pPr>
              <w:ind w:left="5320"/>
              <w:spacing w:after="0"/>
              <w:rPr>
                <w:sz w:val="20"/>
                <w:szCs w:val="20"/>
                <w:color w:val="auto"/>
              </w:rPr>
            </w:pPr>
            <w:r>
              <w:rPr>
                <w:rFonts w:ascii="Arial" w:cs="Arial" w:eastAsia="Arial" w:hAnsi="Arial"/>
                <w:sz w:val="18"/>
                <w:szCs w:val="18"/>
                <w:color w:val="auto"/>
              </w:rPr>
              <w:t>F-42</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The following outstanding potentially dilutive securities have been excluded from the calculation of diluted net loss per unit, as their effect is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480" w:type="dxa"/>
            <w:vAlign w:val="bottom"/>
          </w:tcPr>
          <w:p>
            <w:pPr>
              <w:spacing w:after="0"/>
              <w:rPr>
                <w:sz w:val="17"/>
                <w:szCs w:val="17"/>
                <w:color w:val="auto"/>
              </w:rPr>
            </w:pPr>
          </w:p>
        </w:tc>
        <w:tc>
          <w:tcPr>
            <w:tcW w:w="2540" w:type="dxa"/>
            <w:vAlign w:val="bottom"/>
            <w:gridSpan w:val="4"/>
          </w:tcPr>
          <w:p>
            <w:pPr>
              <w:ind w:left="420"/>
              <w:spacing w:after="0"/>
              <w:rPr>
                <w:sz w:val="20"/>
                <w:szCs w:val="20"/>
                <w:color w:val="auto"/>
              </w:rPr>
            </w:pPr>
            <w:r>
              <w:rPr>
                <w:rFonts w:ascii="Arial" w:cs="Arial" w:eastAsia="Arial" w:hAnsi="Arial"/>
                <w:sz w:val="16"/>
                <w:szCs w:val="16"/>
                <w:b w:val="1"/>
                <w:bCs w:val="1"/>
                <w:color w:val="auto"/>
              </w:rPr>
              <w:t>Years ended December 31,</w:t>
            </w:r>
          </w:p>
        </w:tc>
      </w:tr>
      <w:tr>
        <w:trPr>
          <w:trHeight w:val="183"/>
        </w:trPr>
        <w:tc>
          <w:tcPr>
            <w:tcW w:w="8480" w:type="dxa"/>
            <w:vAlign w:val="bottom"/>
            <w:tcBorders>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133"/>
              <w:spacing w:after="0" w:line="183" w:lineRule="exact"/>
              <w:rPr>
                <w:sz w:val="20"/>
                <w:szCs w:val="20"/>
                <w:color w:val="auto"/>
              </w:rPr>
            </w:pPr>
            <w:r>
              <w:rPr>
                <w:rFonts w:ascii="Arial" w:cs="Arial" w:eastAsia="Arial" w:hAnsi="Arial"/>
                <w:sz w:val="16"/>
                <w:szCs w:val="16"/>
                <w:b w:val="1"/>
                <w:bCs w:val="1"/>
                <w:color w:val="auto"/>
              </w:rPr>
              <w:t>2021</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units</w:t>
            </w:r>
          </w:p>
        </w:tc>
        <w:tc>
          <w:tcPr>
            <w:tcW w:w="1340" w:type="dxa"/>
            <w:vAlign w:val="bottom"/>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rPr>
              <w:t>19,650,632</w:t>
            </w:r>
          </w:p>
        </w:tc>
        <w:tc>
          <w:tcPr>
            <w:tcW w:w="11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41,478,621</w:t>
            </w:r>
          </w:p>
        </w:tc>
        <w:tc>
          <w:tcPr>
            <w:tcW w:w="60" w:type="dxa"/>
            <w:vAlign w:val="bottom"/>
            <w:shd w:val="clear" w:color="auto" w:fill="CCEEFF"/>
          </w:tcPr>
          <w:p>
            <w:pPr>
              <w:spacing w:after="0"/>
              <w:rPr>
                <w:sz w:val="17"/>
                <w:szCs w:val="17"/>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Profits interests</w:t>
            </w:r>
          </w:p>
        </w:tc>
        <w:tc>
          <w:tcPr>
            <w:tcW w:w="13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5,783,758</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7,516,073</w:t>
            </w:r>
          </w:p>
        </w:tc>
        <w:tc>
          <w:tcPr>
            <w:tcW w:w="60" w:type="dxa"/>
            <w:vAlign w:val="bottom"/>
          </w:tcPr>
          <w:p>
            <w:pPr>
              <w:spacing w:after="0"/>
              <w:rPr>
                <w:sz w:val="17"/>
                <w:szCs w:val="17"/>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common units</w:t>
            </w:r>
          </w:p>
        </w:tc>
        <w:tc>
          <w:tcPr>
            <w:tcW w:w="134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78,750</w:t>
            </w:r>
          </w:p>
        </w:tc>
        <w:tc>
          <w:tcPr>
            <w:tcW w:w="12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9"/>
        </w:trPr>
        <w:tc>
          <w:tcPr>
            <w:tcW w:w="848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25,513,140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48,994,694</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84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17. Employee retirement plan</w:t>
      </w:r>
    </w:p>
    <w:p>
      <w:pPr>
        <w:spacing w:after="0" w:line="135"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The Company has a defined contribution plan under Section 401(k) of the Internal Revenue Code (the “401(k) Plan”), covering its employees. Employees may contribute a percentage of their annual compensation to this plan, subject to the maximum allowable amount set by the Internal Revenue Service. The 401(k) Plan provides that the Company matches each participant’s contribution at 100% up to the first 5% of the employee’s eligible compensation. The Company’s contributions to the 401(k) Plan were $0.2 million and $0.6 million for the years ended December 31, 2021 and 2022, respectively.</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18. Subsequent events</w:t>
      </w:r>
    </w:p>
    <w:p>
      <w:pPr>
        <w:spacing w:after="0" w:line="13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Company has reviewed and evaluated subsequent events through August 3, 2023, the date that the consolidated financial statements were available to be issued.</w:t>
      </w:r>
    </w:p>
    <w:p>
      <w:pPr>
        <w:spacing w:after="0" w:line="86"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color w:val="auto"/>
        </w:rPr>
        <w:t>In January 2023, the Company sold an additional 334,754 Series B-1 redeemable convertible preferred units in accordance with the Series B-1 purchase agreement and received gross cash proceeds of $4.7 million.</w:t>
      </w:r>
    </w:p>
    <w:p>
      <w:pPr>
        <w:spacing w:after="0" w:line="86"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color w:val="auto"/>
        </w:rPr>
        <w:t>In March and June 2023, the Company granted 450,860 and 1,530,523 profits interests to officers, employees and consultants with a threshold amount of $5.75 and $7.40, respectively. These profits interests vest over a period of two to four years.</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5" w:right="4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620"/>
        <w:spacing w:after="0"/>
        <w:rPr>
          <w:sz w:val="20"/>
          <w:szCs w:val="20"/>
          <w:color w:val="auto"/>
        </w:rPr>
      </w:pPr>
      <w:r>
        <w:rPr>
          <w:rFonts w:ascii="Arial" w:cs="Arial" w:eastAsia="Arial" w:hAnsi="Arial"/>
          <w:sz w:val="32"/>
          <w:szCs w:val="32"/>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2072005</wp:posOffset>
            </wp:positionV>
            <wp:extent cx="1885950" cy="74612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88595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0"/>
        <w:spacing w:after="0"/>
        <w:tabs>
          <w:tab w:leader="none" w:pos="1840" w:val="left"/>
          <w:tab w:leader="none" w:pos="3420" w:val="left"/>
          <w:tab w:leader="none" w:pos="5080" w:val="left"/>
          <w:tab w:leader="none" w:pos="8760" w:val="left"/>
        </w:tabs>
        <w:rPr>
          <w:sz w:val="20"/>
          <w:szCs w:val="20"/>
          <w:color w:val="auto"/>
        </w:rPr>
      </w:pPr>
      <w:r>
        <w:rPr>
          <w:rFonts w:ascii="Arial" w:cs="Arial" w:eastAsia="Arial" w:hAnsi="Arial"/>
          <w:sz w:val="23"/>
          <w:szCs w:val="23"/>
          <w:b w:val="1"/>
          <w:bCs w:val="1"/>
          <w:color w:val="auto"/>
        </w:rPr>
        <w:t>J.P. Morgan</w:t>
      </w:r>
      <w:r>
        <w:rPr>
          <w:sz w:val="20"/>
          <w:szCs w:val="20"/>
          <w:color w:val="auto"/>
        </w:rPr>
        <w:tab/>
      </w:r>
      <w:r>
        <w:rPr>
          <w:rFonts w:ascii="Arial" w:cs="Arial" w:eastAsia="Arial" w:hAnsi="Arial"/>
          <w:sz w:val="23"/>
          <w:szCs w:val="23"/>
          <w:b w:val="1"/>
          <w:bCs w:val="1"/>
          <w:color w:val="auto"/>
        </w:rPr>
        <w:t>Jefferies</w:t>
      </w:r>
      <w:r>
        <w:rPr>
          <w:sz w:val="20"/>
          <w:szCs w:val="20"/>
          <w:color w:val="auto"/>
        </w:rPr>
        <w:tab/>
      </w:r>
      <w:r>
        <w:rPr>
          <w:rFonts w:ascii="Arial" w:cs="Arial" w:eastAsia="Arial" w:hAnsi="Arial"/>
          <w:sz w:val="23"/>
          <w:szCs w:val="23"/>
          <w:b w:val="1"/>
          <w:bCs w:val="1"/>
          <w:color w:val="auto"/>
        </w:rPr>
        <w:t>TD Cowen</w:t>
      </w:r>
      <w:r>
        <w:rPr>
          <w:sz w:val="20"/>
          <w:szCs w:val="20"/>
          <w:color w:val="auto"/>
        </w:rPr>
        <w:tab/>
      </w:r>
      <w:r>
        <w:rPr>
          <w:rFonts w:ascii="Arial" w:cs="Arial" w:eastAsia="Arial" w:hAnsi="Arial"/>
          <w:sz w:val="23"/>
          <w:szCs w:val="23"/>
          <w:b w:val="1"/>
          <w:bCs w:val="1"/>
          <w:color w:val="auto"/>
        </w:rPr>
        <w:t>Wells Fargo Securities</w:t>
      </w:r>
      <w:r>
        <w:rPr>
          <w:sz w:val="20"/>
          <w:szCs w:val="20"/>
          <w:color w:val="auto"/>
        </w:rPr>
        <w:tab/>
      </w:r>
      <w:r>
        <w:rPr>
          <w:rFonts w:ascii="Arial" w:cs="Arial" w:eastAsia="Arial" w:hAnsi="Arial"/>
          <w:sz w:val="23"/>
          <w:szCs w:val="23"/>
          <w:b w:val="1"/>
          <w:bCs w:val="1"/>
          <w:color w:val="auto"/>
        </w:rPr>
        <w:t>BMO Capital Markets</w:t>
      </w: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23"/>
          <w:szCs w:val="23"/>
          <w:b w:val="1"/>
          <w:bCs w:val="1"/>
          <w:color w:val="auto"/>
        </w:rPr>
        <w:t>Chardan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2023</w:t>
      </w:r>
    </w:p>
    <w:p>
      <w:pPr>
        <w:spacing w:after="0" w:line="293" w:lineRule="exact"/>
        <w:rPr>
          <w:sz w:val="20"/>
          <w:szCs w:val="20"/>
          <w:color w:val="auto"/>
        </w:rPr>
      </w:pPr>
    </w:p>
    <w:p>
      <w:pPr>
        <w:ind w:left="120"/>
        <w:spacing w:after="0"/>
        <w:tabs>
          <w:tab w:leader="none" w:pos="2700" w:val="left"/>
        </w:tabs>
        <w:rPr>
          <w:sz w:val="20"/>
          <w:szCs w:val="20"/>
          <w:color w:val="auto"/>
        </w:rPr>
      </w:pPr>
      <w:r>
        <w:rPr>
          <w:rFonts w:ascii="Arial" w:cs="Arial" w:eastAsia="Arial" w:hAnsi="Arial"/>
          <w:sz w:val="18"/>
          <w:szCs w:val="18"/>
          <w:b w:val="1"/>
          <w:bCs w:val="1"/>
          <w:color w:val="auto"/>
        </w:rPr>
        <w:t>Through and including</w:t>
      </w:r>
      <w:r>
        <w:rPr>
          <w:sz w:val="20"/>
          <w:szCs w:val="20"/>
          <w:color w:val="auto"/>
        </w:rPr>
        <w:tab/>
      </w:r>
      <w:r>
        <w:rPr>
          <w:rFonts w:ascii="Arial" w:cs="Arial" w:eastAsia="Arial" w:hAnsi="Arial"/>
          <w:sz w:val="17"/>
          <w:szCs w:val="17"/>
          <w:b w:val="1"/>
          <w:bCs w:val="1"/>
          <w:color w:val="auto"/>
        </w:rPr>
        <w:t>, 2023 (the 25th day after the date of this prospectus), all dealers that effect transactions in these</w:t>
      </w:r>
    </w:p>
    <w:p>
      <w:pPr>
        <w:spacing w:after="0" w:line="14" w:lineRule="exact"/>
        <w:rPr>
          <w:sz w:val="20"/>
          <w:szCs w:val="20"/>
          <w:color w:val="auto"/>
        </w:rPr>
      </w:pPr>
    </w:p>
    <w:p>
      <w:pPr>
        <w:ind w:left="120" w:right="700"/>
        <w:spacing w:after="0" w:line="247" w:lineRule="auto"/>
        <w:rPr>
          <w:sz w:val="20"/>
          <w:szCs w:val="20"/>
          <w:color w:val="auto"/>
        </w:rPr>
      </w:pPr>
      <w:r>
        <w:rPr>
          <w:rFonts w:ascii="Arial" w:cs="Arial" w:eastAsia="Arial" w:hAnsi="Arial"/>
          <w:sz w:val="18"/>
          <w:szCs w:val="18"/>
          <w:b w:val="1"/>
          <w:bCs w:val="1"/>
          <w:color w:val="auto"/>
        </w:rPr>
        <w:t>securities, whether or not 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1120"/>
          </w:cols>
          <w:pgMar w:left="320" w:top="455" w:right="45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Part II</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Information Not Required in Prospectus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13. Other Expenses of Issuance and Distribution</w:t>
      </w:r>
    </w:p>
    <w:p>
      <w:pPr>
        <w:spacing w:after="0" w:line="135"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to be paid by us in connection with the sale of the shares of common stock being registered hereby. All amounts shown are estimates except for the SEC registration fee, the FINRA filing fee and the Nasdaq Global Market initial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699516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9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8"/>
              </w:rPr>
              <w:t>*</w:t>
            </w: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39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78"/>
              </w:rPr>
              <w:t>*</w:t>
            </w: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Nasdaq listing fee</w:t>
            </w:r>
          </w:p>
        </w:tc>
        <w:tc>
          <w:tcPr>
            <w:tcW w:w="39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8"/>
              </w:rPr>
              <w:t>*</w:t>
            </w: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39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78"/>
              </w:rPr>
              <w:t>*</w:t>
            </w: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39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8"/>
              </w:rPr>
              <w:t>*</w:t>
            </w: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39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78"/>
              </w:rPr>
              <w:t>*</w:t>
            </w: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Transfer agent and registrar fees and expenses</w:t>
            </w:r>
          </w:p>
        </w:tc>
        <w:tc>
          <w:tcPr>
            <w:tcW w:w="39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8"/>
              </w:rPr>
              <w:t>*</w:t>
            </w:r>
          </w:p>
        </w:tc>
      </w:tr>
      <w:tr>
        <w:trPr>
          <w:trHeight w:val="203"/>
        </w:trPr>
        <w:tc>
          <w:tcPr>
            <w:tcW w:w="69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Miscellaneous</w:t>
            </w:r>
          </w:p>
        </w:tc>
        <w:tc>
          <w:tcPr>
            <w:tcW w:w="3940" w:type="dxa"/>
            <w:vAlign w:val="bottom"/>
            <w:tcBorders>
              <w:bottom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7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3" w:lineRule="exact"/>
        <w:rPr>
          <w:sz w:val="20"/>
          <w:szCs w:val="20"/>
          <w:color w:val="auto"/>
        </w:rPr>
      </w:pPr>
    </w:p>
    <w:p>
      <w:pPr>
        <w:ind w:left="440" w:hanging="324"/>
        <w:spacing w:after="0"/>
        <w:tabs>
          <w:tab w:leader="none" w:pos="44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To be provided by amendment.</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14. Indemnification of Directors and Officers</w:t>
      </w:r>
    </w:p>
    <w:p>
      <w:pPr>
        <w:spacing w:after="0" w:line="148"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16"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We have adopted provisions in our amended and restated certificate of incorporation and amended and restated bylaws to be in effect upon the effectiveness of this registration statement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106" w:lineRule="exact"/>
        <w:rPr>
          <w:sz w:val="20"/>
          <w:szCs w:val="20"/>
          <w:color w:val="auto"/>
        </w:rPr>
      </w:pPr>
    </w:p>
    <w:p>
      <w:pPr>
        <w:ind w:left="340" w:hanging="224"/>
        <w:spacing w:after="0"/>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purchases, redemptions or other distributions; or</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5" w:right="4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our amended and restated bylaws to be in effect upon the effectiveness of this registration statement provide that:</w:t>
      </w:r>
    </w:p>
    <w:p>
      <w:pPr>
        <w:spacing w:after="0" w:line="144" w:lineRule="exact"/>
        <w:rPr>
          <w:sz w:val="20"/>
          <w:szCs w:val="20"/>
          <w:color w:val="auto"/>
        </w:rPr>
      </w:pPr>
    </w:p>
    <w:p>
      <w:pPr>
        <w:ind w:left="340" w:right="120" w:hanging="224"/>
        <w:spacing w:after="0" w:line="271" w:lineRule="auto"/>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86" w:lineRule="exact"/>
        <w:rPr>
          <w:rFonts w:ascii="Arial" w:cs="Arial" w:eastAsia="Arial" w:hAnsi="Arial"/>
          <w:sz w:val="18"/>
          <w:szCs w:val="18"/>
          <w:color w:val="auto"/>
        </w:rPr>
      </w:pPr>
    </w:p>
    <w:p>
      <w:pPr>
        <w:ind w:left="340" w:right="200" w:hanging="224"/>
        <w:spacing w:after="0" w:line="253" w:lineRule="auto"/>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01" w:lineRule="exact"/>
        <w:rPr>
          <w:sz w:val="20"/>
          <w:szCs w:val="20"/>
          <w:color w:val="auto"/>
        </w:rPr>
      </w:pPr>
    </w:p>
    <w:p>
      <w:pPr>
        <w:ind w:left="120"/>
        <w:spacing w:after="0" w:line="254" w:lineRule="auto"/>
        <w:rPr>
          <w:sz w:val="20"/>
          <w:szCs w:val="20"/>
          <w:color w:val="auto"/>
        </w:rPr>
      </w:pPr>
      <w:r>
        <w:rPr>
          <w:rFonts w:ascii="Arial" w:cs="Arial" w:eastAsia="Arial" w:hAnsi="Arial"/>
          <w:sz w:val="17"/>
          <w:szCs w:val="17"/>
          <w:color w:val="auto"/>
        </w:rPr>
        <w:t>We intend to enter into indemnification agreements with each of our directors and executive officers. These agreements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91"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We also maintain general liability insurance which covers certain liabilities of our directors and officers arising out of claims based on acts or omissions in their capacities as directors or officers, including liabilities under the Securities Act.</w:t>
      </w:r>
    </w:p>
    <w:p>
      <w:pPr>
        <w:spacing w:after="0" w:line="86"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color w:val="auto"/>
        </w:rPr>
        <w:t>The underwriting agreement filed as Exhibit 1.1 to this registration statement provides for indemnification of us and our directors and officers by the underwriters against certain liabilities under the Securities Act and the Exchange Act.</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15. Recent Sales of Unregistered Securities</w:t>
      </w:r>
    </w:p>
    <w:p>
      <w:pPr>
        <w:spacing w:after="0" w:line="148"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In the three years preceding the filing of this registration statement, we have issued the following securities that were not registered under the Securities Act:</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Preferred Units</w:t>
      </w:r>
    </w:p>
    <w:p>
      <w:pPr>
        <w:spacing w:after="0" w:line="142"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From 2020 to 2021, we sold an aggregate of 9,861,297 Series A preferred units in multiple closings, consisting of (i) 8,280,360 Series A-4 preferred units sold at a purchase price of $4.84875 per unit for an aggregate amount of $40.1 million and (ii) 1,580,937 Series A-5 preferred units sold at a purchase price of $6.32536 per unit for an aggregate amount of $10.0 million, for total aggregate proceeds of $50.1 million.</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2022 and 2023, we sold an aggregate of 22,162,743 Series B preferred units in multiple closings, consisting of (i) 15,054,263 Series B</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preferred units, which includes (a) 12,446,876 Series B preferred units sold at a purchase price of $11.64951 per unit and (b) 2,607,387</w:t>
      </w:r>
    </w:p>
    <w:p>
      <w:pPr>
        <w:ind w:left="120"/>
        <w:spacing w:after="0" w:line="234" w:lineRule="auto"/>
        <w:rPr>
          <w:sz w:val="20"/>
          <w:szCs w:val="20"/>
          <w:color w:val="auto"/>
        </w:rPr>
      </w:pPr>
      <w:r>
        <w:rPr>
          <w:rFonts w:ascii="Arial" w:cs="Arial" w:eastAsia="Arial" w:hAnsi="Arial"/>
          <w:sz w:val="18"/>
          <w:szCs w:val="18"/>
          <w:color w:val="auto"/>
        </w:rPr>
        <w:t>Series B preferred units which converted pursuant to a promissory note with a principal amount of $30.0 million and accrued interest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$0.4 million between the Company and ModernaTx, Inc., for an aggregate amount of $175.4 million and (ii) 7,108,480 Series B-1 preferred</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units sold at a purchase price of $14.06770 per unit for an aggregate amount of $100.0 million, for total aggregate proceeds of</w:t>
      </w:r>
    </w:p>
    <w:p>
      <w:pPr>
        <w:ind w:left="120"/>
        <w:spacing w:after="0"/>
        <w:rPr>
          <w:sz w:val="20"/>
          <w:szCs w:val="20"/>
          <w:color w:val="auto"/>
        </w:rPr>
      </w:pPr>
      <w:r>
        <w:rPr>
          <w:rFonts w:ascii="Arial" w:cs="Arial" w:eastAsia="Arial" w:hAnsi="Arial"/>
          <w:sz w:val="18"/>
          <w:szCs w:val="18"/>
          <w:color w:val="auto"/>
        </w:rPr>
        <w:t>$275.4 million.</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5" w:right="45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No underwriters were involved in the foregoing sales of securities.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Profits Interests</w:t>
      </w:r>
    </w:p>
    <w:p>
      <w:pPr>
        <w:spacing w:after="0" w:line="129"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auto"/>
        </w:rPr>
        <w:t>Since January 1, 2020, we have granted an aggregate of 8,847,755 profits interests, with profits interest threshold amounts ranging from $0.08 to $7.40 per unit, to employees, directors and consultants pursuant to the 2019 Plan. No common units have been issued pursuant to the 2019 Plan.</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issuances of the securities under the 2019 Plan described above were deemed to be exempt from registration pursuant to</w:t>
      </w:r>
    </w:p>
    <w:p>
      <w:pPr>
        <w:spacing w:after="0" w:line="14" w:lineRule="exact"/>
        <w:rPr>
          <w:sz w:val="20"/>
          <w:szCs w:val="20"/>
          <w:color w:val="auto"/>
        </w:rPr>
      </w:pPr>
    </w:p>
    <w:p>
      <w:pPr>
        <w:ind w:left="120" w:right="200"/>
        <w:spacing w:after="0" w:line="250" w:lineRule="auto"/>
        <w:rPr>
          <w:sz w:val="20"/>
          <w:szCs w:val="20"/>
          <w:color w:val="auto"/>
        </w:rPr>
      </w:pPr>
      <w:r>
        <w:rPr>
          <w:rFonts w:ascii="Arial" w:cs="Arial" w:eastAsia="Arial" w:hAnsi="Arial"/>
          <w:sz w:val="18"/>
          <w:szCs w:val="18"/>
          <w:color w:val="auto"/>
        </w:rPr>
        <w:t>Section 4(a)(2) of the Securities Act or Rule 701 promulgated under the Securities Act as transactions pursuant to compensatory benefit plans. The profits interests are deemed to be restricted securities for purposes of the Securities Act.</w:t>
      </w:r>
    </w:p>
    <w:p>
      <w:pPr>
        <w:spacing w:after="0" w:line="104"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The issuance of securities described above to employees and consultants outside of the 2019 Plan were deemed exempt from registration pursuant to Section 4(a)(2) of the Securities Act as transactions by an issuer not involving a public offering.</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5" w:right="45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16. Exhibits and Financial Statement Schedules</w:t>
      </w:r>
    </w:p>
    <w:p>
      <w:pPr>
        <w:spacing w:after="0" w:line="148" w:lineRule="exact"/>
        <w:rPr>
          <w:sz w:val="20"/>
          <w:szCs w:val="20"/>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Exhibits.</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Exhibit</w:t>
            </w:r>
          </w:p>
        </w:tc>
        <w:tc>
          <w:tcPr>
            <w:tcW w:w="9920" w:type="dxa"/>
            <w:vAlign w:val="bottom"/>
            <w:vMerge w:val="restart"/>
          </w:tcPr>
          <w:p>
            <w:pPr>
              <w:ind w:left="4540"/>
              <w:spacing w:after="0"/>
              <w:rPr>
                <w:sz w:val="20"/>
                <w:szCs w:val="20"/>
                <w:color w:val="auto"/>
              </w:rPr>
            </w:pPr>
            <w:r>
              <w:rPr>
                <w:rFonts w:ascii="Arial" w:cs="Arial" w:eastAsia="Arial" w:hAnsi="Arial"/>
                <w:sz w:val="14"/>
                <w:szCs w:val="14"/>
                <w:b w:val="1"/>
                <w:bCs w:val="1"/>
                <w:color w:val="auto"/>
              </w:rPr>
              <w:t>Exhibit table</w:t>
            </w:r>
          </w:p>
        </w:tc>
        <w:tc>
          <w:tcPr>
            <w:tcW w:w="0" w:type="dxa"/>
            <w:vAlign w:val="bottom"/>
          </w:tcPr>
          <w:p>
            <w:pPr>
              <w:spacing w:after="0"/>
              <w:rPr>
                <w:sz w:val="1"/>
                <w:szCs w:val="1"/>
                <w:color w:val="auto"/>
              </w:rPr>
            </w:pPr>
          </w:p>
        </w:tc>
      </w:tr>
      <w:tr>
        <w:trPr>
          <w:trHeight w:val="171"/>
        </w:trPr>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w:t>
            </w:r>
          </w:p>
        </w:tc>
        <w:tc>
          <w:tcPr>
            <w:tcW w:w="9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6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3"/>
                <w:szCs w:val="23"/>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70"/>
        </w:trPr>
        <w:tc>
          <w:tcPr>
            <w:tcW w:w="68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3"/>
                <w:szCs w:val="23"/>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Amended and Restated Limited Liability Company Agreement of the Registrant, as currently in effect</w:t>
            </w:r>
          </w:p>
        </w:tc>
        <w:tc>
          <w:tcPr>
            <w:tcW w:w="0" w:type="dxa"/>
            <w:vAlign w:val="bottom"/>
          </w:tcPr>
          <w:p>
            <w:pPr>
              <w:spacing w:after="0"/>
              <w:rPr>
                <w:sz w:val="1"/>
                <w:szCs w:val="1"/>
                <w:color w:val="auto"/>
              </w:rPr>
            </w:pPr>
          </w:p>
        </w:tc>
      </w:tr>
      <w:tr>
        <w:trPr>
          <w:trHeight w:val="234"/>
        </w:trPr>
        <w:tc>
          <w:tcPr>
            <w:tcW w:w="68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Amended and Restated Certificate of Incorporation of the Registrant (to be effective upon the closing of this</w:t>
            </w:r>
          </w:p>
        </w:tc>
        <w:tc>
          <w:tcPr>
            <w:tcW w:w="0" w:type="dxa"/>
            <w:vAlign w:val="bottom"/>
          </w:tcPr>
          <w:p>
            <w:pPr>
              <w:spacing w:after="0"/>
              <w:rPr>
                <w:sz w:val="1"/>
                <w:szCs w:val="1"/>
                <w:color w:val="auto"/>
              </w:rPr>
            </w:pPr>
          </w:p>
        </w:tc>
      </w:tr>
      <w:tr>
        <w:trPr>
          <w:trHeight w:val="239"/>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offering)</w:t>
            </w:r>
          </w:p>
        </w:tc>
        <w:tc>
          <w:tcPr>
            <w:tcW w:w="0" w:type="dxa"/>
            <w:vAlign w:val="bottom"/>
          </w:tcPr>
          <w:p>
            <w:pPr>
              <w:spacing w:after="0"/>
              <w:rPr>
                <w:sz w:val="1"/>
                <w:szCs w:val="1"/>
                <w:color w:val="auto"/>
              </w:rPr>
            </w:pPr>
          </w:p>
        </w:tc>
      </w:tr>
      <w:tr>
        <w:trPr>
          <w:trHeight w:val="270"/>
        </w:trPr>
        <w:tc>
          <w:tcPr>
            <w:tcW w:w="68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3"/>
                <w:szCs w:val="23"/>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Amended and Restated By-laws (to be effective upon the closing of this offering)</w:t>
            </w:r>
          </w:p>
        </w:tc>
        <w:tc>
          <w:tcPr>
            <w:tcW w:w="0" w:type="dxa"/>
            <w:vAlign w:val="bottom"/>
          </w:tcPr>
          <w:p>
            <w:pPr>
              <w:spacing w:after="0"/>
              <w:rPr>
                <w:sz w:val="1"/>
                <w:szCs w:val="1"/>
                <w:color w:val="auto"/>
              </w:rPr>
            </w:pPr>
          </w:p>
        </w:tc>
      </w:tr>
      <w:tr>
        <w:trPr>
          <w:trHeight w:val="234"/>
        </w:trPr>
        <w:tc>
          <w:tcPr>
            <w:tcW w:w="680" w:type="dxa"/>
            <w:vAlign w:val="bottom"/>
          </w:tcPr>
          <w:p>
            <w:pPr>
              <w:jc w:val="right"/>
              <w:ind w:right="71"/>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Amended and Restated Investors’ Rights Agreement among the Registrant and certain of its stockholders, dated</w:t>
            </w:r>
          </w:p>
        </w:tc>
        <w:tc>
          <w:tcPr>
            <w:tcW w:w="0" w:type="dxa"/>
            <w:vAlign w:val="bottom"/>
          </w:tcPr>
          <w:p>
            <w:pPr>
              <w:spacing w:after="0"/>
              <w:rPr>
                <w:sz w:val="1"/>
                <w:szCs w:val="1"/>
                <w:color w:val="auto"/>
              </w:rPr>
            </w:pPr>
          </w:p>
        </w:tc>
      </w:tr>
      <w:tr>
        <w:trPr>
          <w:trHeight w:val="239"/>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December 20, 2022</w:t>
            </w:r>
          </w:p>
        </w:tc>
        <w:tc>
          <w:tcPr>
            <w:tcW w:w="0" w:type="dxa"/>
            <w:vAlign w:val="bottom"/>
          </w:tcPr>
          <w:p>
            <w:pPr>
              <w:spacing w:after="0"/>
              <w:rPr>
                <w:sz w:val="1"/>
                <w:szCs w:val="1"/>
                <w:color w:val="auto"/>
              </w:rPr>
            </w:pPr>
          </w:p>
        </w:tc>
      </w:tr>
      <w:tr>
        <w:trPr>
          <w:trHeight w:val="270"/>
        </w:trPr>
        <w:tc>
          <w:tcPr>
            <w:tcW w:w="680" w:type="dxa"/>
            <w:vAlign w:val="bottom"/>
          </w:tcPr>
          <w:p>
            <w:pPr>
              <w:jc w:val="right"/>
              <w:ind w:right="71"/>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3"/>
                <w:szCs w:val="23"/>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270"/>
        </w:trPr>
        <w:tc>
          <w:tcPr>
            <w:tcW w:w="680" w:type="dxa"/>
            <w:vAlign w:val="bottom"/>
          </w:tcPr>
          <w:p>
            <w:pPr>
              <w:jc w:val="right"/>
              <w:ind w:right="71"/>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3"/>
                <w:szCs w:val="23"/>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Opinion of Goodwin Procter LLP</w:t>
            </w:r>
          </w:p>
        </w:tc>
        <w:tc>
          <w:tcPr>
            <w:tcW w:w="0" w:type="dxa"/>
            <w:vAlign w:val="bottom"/>
          </w:tcPr>
          <w:p>
            <w:pPr>
              <w:spacing w:after="0"/>
              <w:rPr>
                <w:sz w:val="1"/>
                <w:szCs w:val="1"/>
                <w:color w:val="auto"/>
              </w:rPr>
            </w:pPr>
          </w:p>
        </w:tc>
      </w:tr>
      <w:tr>
        <w:trPr>
          <w:trHeight w:val="270"/>
        </w:trPr>
        <w:tc>
          <w:tcPr>
            <w:tcW w:w="680" w:type="dxa"/>
            <w:vAlign w:val="bottom"/>
          </w:tcPr>
          <w:p>
            <w:pPr>
              <w:jc w:val="right"/>
              <w:ind w:right="71"/>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3"/>
                <w:szCs w:val="23"/>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2019 Equity Incentive Plan, as amended, and forms of award agreements thereunder</w:t>
            </w:r>
          </w:p>
        </w:tc>
        <w:tc>
          <w:tcPr>
            <w:tcW w:w="0" w:type="dxa"/>
            <w:vAlign w:val="bottom"/>
          </w:tcPr>
          <w:p>
            <w:pPr>
              <w:spacing w:after="0"/>
              <w:rPr>
                <w:sz w:val="1"/>
                <w:szCs w:val="1"/>
                <w:color w:val="auto"/>
              </w:rPr>
            </w:pPr>
          </w:p>
        </w:tc>
      </w:tr>
      <w:tr>
        <w:trPr>
          <w:trHeight w:val="270"/>
        </w:trPr>
        <w:tc>
          <w:tcPr>
            <w:tcW w:w="680" w:type="dxa"/>
            <w:vAlign w:val="bottom"/>
          </w:tcPr>
          <w:p>
            <w:pPr>
              <w:jc w:val="right"/>
              <w:ind w:right="71"/>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3"/>
                <w:szCs w:val="23"/>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2023 Stock Option and Incentive Plan and forms of award agreements thereunder</w:t>
            </w:r>
          </w:p>
        </w:tc>
        <w:tc>
          <w:tcPr>
            <w:tcW w:w="0" w:type="dxa"/>
            <w:vAlign w:val="bottom"/>
          </w:tcPr>
          <w:p>
            <w:pPr>
              <w:spacing w:after="0"/>
              <w:rPr>
                <w:sz w:val="1"/>
                <w:szCs w:val="1"/>
                <w:color w:val="auto"/>
              </w:rPr>
            </w:pPr>
          </w:p>
        </w:tc>
      </w:tr>
      <w:tr>
        <w:trPr>
          <w:trHeight w:val="270"/>
        </w:trPr>
        <w:tc>
          <w:tcPr>
            <w:tcW w:w="680" w:type="dxa"/>
            <w:vAlign w:val="bottom"/>
          </w:tcPr>
          <w:p>
            <w:pPr>
              <w:jc w:val="right"/>
              <w:ind w:right="71"/>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3"/>
                <w:szCs w:val="23"/>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2023 Employee Stock Purchase Plan</w:t>
            </w:r>
          </w:p>
        </w:tc>
        <w:tc>
          <w:tcPr>
            <w:tcW w:w="0" w:type="dxa"/>
            <w:vAlign w:val="bottom"/>
          </w:tcPr>
          <w:p>
            <w:pPr>
              <w:spacing w:after="0"/>
              <w:rPr>
                <w:sz w:val="1"/>
                <w:szCs w:val="1"/>
                <w:color w:val="auto"/>
              </w:rPr>
            </w:pPr>
          </w:p>
        </w:tc>
      </w:tr>
      <w:tr>
        <w:trPr>
          <w:trHeight w:val="270"/>
        </w:trPr>
        <w:tc>
          <w:tcPr>
            <w:tcW w:w="680" w:type="dxa"/>
            <w:vAlign w:val="bottom"/>
          </w:tcPr>
          <w:p>
            <w:pPr>
              <w:jc w:val="right"/>
              <w:ind w:right="71"/>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3"/>
                <w:szCs w:val="23"/>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Officer Indemnification Agreement</w:t>
            </w:r>
          </w:p>
        </w:tc>
        <w:tc>
          <w:tcPr>
            <w:tcW w:w="0" w:type="dxa"/>
            <w:vAlign w:val="bottom"/>
          </w:tcPr>
          <w:p>
            <w:pPr>
              <w:spacing w:after="0"/>
              <w:rPr>
                <w:sz w:val="1"/>
                <w:szCs w:val="1"/>
                <w:color w:val="auto"/>
              </w:rPr>
            </w:pPr>
          </w:p>
        </w:tc>
      </w:tr>
      <w:tr>
        <w:trPr>
          <w:trHeight w:val="270"/>
        </w:trPr>
        <w:tc>
          <w:tcPr>
            <w:tcW w:w="680" w:type="dxa"/>
            <w:vAlign w:val="bottom"/>
          </w:tcPr>
          <w:p>
            <w:pPr>
              <w:jc w:val="right"/>
              <w:ind w:right="71"/>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23"/>
                <w:szCs w:val="23"/>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Director Indemnification Agreement</w:t>
            </w:r>
          </w:p>
        </w:tc>
        <w:tc>
          <w:tcPr>
            <w:tcW w:w="0" w:type="dxa"/>
            <w:vAlign w:val="bottom"/>
          </w:tcPr>
          <w:p>
            <w:pPr>
              <w:spacing w:after="0"/>
              <w:rPr>
                <w:sz w:val="1"/>
                <w:szCs w:val="1"/>
                <w:color w:val="auto"/>
              </w:rPr>
            </w:pPr>
          </w:p>
        </w:tc>
      </w:tr>
      <w:tr>
        <w:trPr>
          <w:trHeight w:val="234"/>
        </w:trPr>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10.6*†</w:t>
            </w:r>
          </w:p>
        </w:tc>
        <w:tc>
          <w:tcPr>
            <w:tcW w:w="9920" w:type="dxa"/>
            <w:vAlign w:val="bottom"/>
          </w:tcPr>
          <w:p>
            <w:pPr>
              <w:spacing w:after="0"/>
              <w:rPr>
                <w:sz w:val="20"/>
                <w:szCs w:val="20"/>
                <w:color w:val="auto"/>
              </w:rPr>
            </w:pPr>
            <w:r>
              <w:rPr>
                <w:rFonts w:ascii="Arial" w:cs="Arial" w:eastAsia="Arial" w:hAnsi="Arial"/>
                <w:sz w:val="18"/>
                <w:szCs w:val="18"/>
                <w:color w:val="auto"/>
              </w:rPr>
              <w:t>Strategic Collaboration and License Agreement by and between the Registrant and ModernaTX, Inc., dated October 29,</w:t>
            </w:r>
          </w:p>
        </w:tc>
        <w:tc>
          <w:tcPr>
            <w:tcW w:w="0" w:type="dxa"/>
            <w:vAlign w:val="bottom"/>
          </w:tcPr>
          <w:p>
            <w:pPr>
              <w:spacing w:after="0"/>
              <w:rPr>
                <w:sz w:val="1"/>
                <w:szCs w:val="1"/>
                <w:color w:val="auto"/>
              </w:rPr>
            </w:pPr>
          </w:p>
        </w:tc>
      </w:tr>
      <w:tr>
        <w:trPr>
          <w:trHeight w:val="239"/>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34"/>
        </w:trPr>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10.7*†</w:t>
            </w:r>
          </w:p>
        </w:tc>
        <w:tc>
          <w:tcPr>
            <w:tcW w:w="9920" w:type="dxa"/>
            <w:vAlign w:val="bottom"/>
          </w:tcPr>
          <w:p>
            <w:pPr>
              <w:spacing w:after="0"/>
              <w:rPr>
                <w:sz w:val="20"/>
                <w:szCs w:val="20"/>
                <w:color w:val="auto"/>
              </w:rPr>
            </w:pPr>
            <w:r>
              <w:rPr>
                <w:rFonts w:ascii="Arial" w:cs="Arial" w:eastAsia="Arial" w:hAnsi="Arial"/>
                <w:sz w:val="18"/>
                <w:szCs w:val="18"/>
                <w:color w:val="auto"/>
              </w:rPr>
              <w:t>Collaboration and License Agreement by and between the Registrant and Ionis Pharmaceuticals, Inc., dated November 10,</w:t>
            </w:r>
          </w:p>
        </w:tc>
        <w:tc>
          <w:tcPr>
            <w:tcW w:w="0" w:type="dxa"/>
            <w:vAlign w:val="bottom"/>
          </w:tcPr>
          <w:p>
            <w:pPr>
              <w:spacing w:after="0"/>
              <w:rPr>
                <w:sz w:val="1"/>
                <w:szCs w:val="1"/>
                <w:color w:val="auto"/>
              </w:rPr>
            </w:pPr>
          </w:p>
        </w:tc>
      </w:tr>
      <w:tr>
        <w:trPr>
          <w:trHeight w:val="239"/>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70"/>
        </w:trPr>
        <w:tc>
          <w:tcPr>
            <w:tcW w:w="680" w:type="dxa"/>
            <w:vAlign w:val="bottom"/>
          </w:tcPr>
          <w:p>
            <w:pPr>
              <w:jc w:val="right"/>
              <w:ind w:right="71"/>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23"/>
                <w:szCs w:val="23"/>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Lease Agreement between EPL Halleck Investors LLC and Metagenomi, Inc., dated January 22, 2021</w:t>
            </w:r>
          </w:p>
        </w:tc>
        <w:tc>
          <w:tcPr>
            <w:tcW w:w="0" w:type="dxa"/>
            <w:vAlign w:val="bottom"/>
          </w:tcPr>
          <w:p>
            <w:pPr>
              <w:spacing w:after="0"/>
              <w:rPr>
                <w:sz w:val="1"/>
                <w:szCs w:val="1"/>
                <w:color w:val="auto"/>
              </w:rPr>
            </w:pPr>
          </w:p>
        </w:tc>
      </w:tr>
      <w:tr>
        <w:trPr>
          <w:trHeight w:val="270"/>
        </w:trPr>
        <w:tc>
          <w:tcPr>
            <w:tcW w:w="680" w:type="dxa"/>
            <w:vAlign w:val="bottom"/>
          </w:tcPr>
          <w:p>
            <w:pPr>
              <w:jc w:val="right"/>
              <w:ind w:right="71"/>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23"/>
                <w:szCs w:val="23"/>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Sublease Agreement between Zymergen Inc. and Metagenomi, Inc., dated November 11, 2022</w:t>
            </w:r>
          </w:p>
        </w:tc>
        <w:tc>
          <w:tcPr>
            <w:tcW w:w="0" w:type="dxa"/>
            <w:vAlign w:val="bottom"/>
          </w:tcPr>
          <w:p>
            <w:pPr>
              <w:spacing w:after="0"/>
              <w:rPr>
                <w:sz w:val="1"/>
                <w:szCs w:val="1"/>
                <w:color w:val="auto"/>
              </w:rPr>
            </w:pPr>
          </w:p>
        </w:tc>
      </w:tr>
      <w:tr>
        <w:trPr>
          <w:trHeight w:val="270"/>
        </w:trPr>
        <w:tc>
          <w:tcPr>
            <w:tcW w:w="680" w:type="dxa"/>
            <w:vAlign w:val="bottom"/>
          </w:tcPr>
          <w:p>
            <w:pPr>
              <w:ind w:left="100"/>
              <w:spacing w:after="0"/>
              <w:rPr>
                <w:sz w:val="20"/>
                <w:szCs w:val="20"/>
                <w:color w:val="auto"/>
              </w:rPr>
            </w:pPr>
            <w:r>
              <w:rPr>
                <w:rFonts w:ascii="Arial" w:cs="Arial" w:eastAsia="Arial" w:hAnsi="Arial"/>
                <w:sz w:val="18"/>
                <w:szCs w:val="18"/>
                <w:color w:val="auto"/>
              </w:rPr>
              <w:t>10.10*</w:t>
            </w:r>
          </w:p>
        </w:tc>
        <w:tc>
          <w:tcPr>
            <w:tcW w:w="420" w:type="dxa"/>
            <w:vAlign w:val="bottom"/>
          </w:tcPr>
          <w:p>
            <w:pPr>
              <w:spacing w:after="0"/>
              <w:rPr>
                <w:sz w:val="23"/>
                <w:szCs w:val="23"/>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Lease Agreement between Park Avenue Building LLC and Metagenomi, Inc., dated September 29, 2021</w:t>
            </w:r>
          </w:p>
        </w:tc>
        <w:tc>
          <w:tcPr>
            <w:tcW w:w="0" w:type="dxa"/>
            <w:vAlign w:val="bottom"/>
          </w:tcPr>
          <w:p>
            <w:pPr>
              <w:spacing w:after="0"/>
              <w:rPr>
                <w:sz w:val="1"/>
                <w:szCs w:val="1"/>
                <w:color w:val="auto"/>
              </w:rPr>
            </w:pPr>
          </w:p>
        </w:tc>
      </w:tr>
      <w:tr>
        <w:trPr>
          <w:trHeight w:val="270"/>
        </w:trPr>
        <w:tc>
          <w:tcPr>
            <w:tcW w:w="680" w:type="dxa"/>
            <w:vAlign w:val="bottom"/>
          </w:tcPr>
          <w:p>
            <w:pPr>
              <w:ind w:left="100"/>
              <w:spacing w:after="0"/>
              <w:rPr>
                <w:sz w:val="20"/>
                <w:szCs w:val="20"/>
                <w:color w:val="auto"/>
              </w:rPr>
            </w:pPr>
            <w:r>
              <w:rPr>
                <w:rFonts w:ascii="Arial" w:cs="Arial" w:eastAsia="Arial" w:hAnsi="Arial"/>
                <w:sz w:val="18"/>
                <w:szCs w:val="18"/>
                <w:color w:val="auto"/>
              </w:rPr>
              <w:t>10.11*</w:t>
            </w:r>
          </w:p>
        </w:tc>
        <w:tc>
          <w:tcPr>
            <w:tcW w:w="420" w:type="dxa"/>
            <w:vAlign w:val="bottom"/>
          </w:tcPr>
          <w:p>
            <w:pPr>
              <w:spacing w:after="0"/>
              <w:rPr>
                <w:sz w:val="23"/>
                <w:szCs w:val="23"/>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Employment Agreement between the Registrant and Brian C. Thomas, to be in effect upon the closing of this offering</w:t>
            </w:r>
          </w:p>
        </w:tc>
        <w:tc>
          <w:tcPr>
            <w:tcW w:w="0" w:type="dxa"/>
            <w:vAlign w:val="bottom"/>
          </w:tcPr>
          <w:p>
            <w:pPr>
              <w:spacing w:after="0"/>
              <w:rPr>
                <w:sz w:val="1"/>
                <w:szCs w:val="1"/>
                <w:color w:val="auto"/>
              </w:rPr>
            </w:pPr>
          </w:p>
        </w:tc>
      </w:tr>
      <w:tr>
        <w:trPr>
          <w:trHeight w:val="270"/>
        </w:trPr>
        <w:tc>
          <w:tcPr>
            <w:tcW w:w="680" w:type="dxa"/>
            <w:vAlign w:val="bottom"/>
          </w:tcPr>
          <w:p>
            <w:pPr>
              <w:ind w:left="100"/>
              <w:spacing w:after="0"/>
              <w:rPr>
                <w:sz w:val="20"/>
                <w:szCs w:val="20"/>
                <w:color w:val="auto"/>
              </w:rPr>
            </w:pPr>
            <w:r>
              <w:rPr>
                <w:rFonts w:ascii="Arial" w:cs="Arial" w:eastAsia="Arial" w:hAnsi="Arial"/>
                <w:sz w:val="18"/>
                <w:szCs w:val="18"/>
                <w:color w:val="auto"/>
              </w:rPr>
              <w:t>10.12*</w:t>
            </w:r>
          </w:p>
        </w:tc>
        <w:tc>
          <w:tcPr>
            <w:tcW w:w="420" w:type="dxa"/>
            <w:vAlign w:val="bottom"/>
          </w:tcPr>
          <w:p>
            <w:pPr>
              <w:spacing w:after="0"/>
              <w:rPr>
                <w:sz w:val="23"/>
                <w:szCs w:val="23"/>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Employment Agreement between the Registrant and Jian Irish, to be in effect upon the closing of this offering</w:t>
            </w:r>
          </w:p>
        </w:tc>
        <w:tc>
          <w:tcPr>
            <w:tcW w:w="0" w:type="dxa"/>
            <w:vAlign w:val="bottom"/>
          </w:tcPr>
          <w:p>
            <w:pPr>
              <w:spacing w:after="0"/>
              <w:rPr>
                <w:sz w:val="1"/>
                <w:szCs w:val="1"/>
                <w:color w:val="auto"/>
              </w:rPr>
            </w:pPr>
          </w:p>
        </w:tc>
      </w:tr>
      <w:tr>
        <w:trPr>
          <w:trHeight w:val="270"/>
        </w:trPr>
        <w:tc>
          <w:tcPr>
            <w:tcW w:w="680" w:type="dxa"/>
            <w:vAlign w:val="bottom"/>
          </w:tcPr>
          <w:p>
            <w:pPr>
              <w:ind w:left="100"/>
              <w:spacing w:after="0"/>
              <w:rPr>
                <w:sz w:val="20"/>
                <w:szCs w:val="20"/>
                <w:color w:val="auto"/>
              </w:rPr>
            </w:pPr>
            <w:r>
              <w:rPr>
                <w:rFonts w:ascii="Arial" w:cs="Arial" w:eastAsia="Arial" w:hAnsi="Arial"/>
                <w:sz w:val="18"/>
                <w:szCs w:val="18"/>
                <w:color w:val="auto"/>
              </w:rPr>
              <w:t>10.13*</w:t>
            </w:r>
          </w:p>
        </w:tc>
        <w:tc>
          <w:tcPr>
            <w:tcW w:w="420" w:type="dxa"/>
            <w:vAlign w:val="bottom"/>
          </w:tcPr>
          <w:p>
            <w:pPr>
              <w:spacing w:after="0"/>
              <w:rPr>
                <w:sz w:val="23"/>
                <w:szCs w:val="23"/>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Employment Agreement between the Registrant and Simon Harnest, to be in effect upon the closing of this offering</w:t>
            </w:r>
          </w:p>
        </w:tc>
        <w:tc>
          <w:tcPr>
            <w:tcW w:w="0" w:type="dxa"/>
            <w:vAlign w:val="bottom"/>
          </w:tcPr>
          <w:p>
            <w:pPr>
              <w:spacing w:after="0"/>
              <w:rPr>
                <w:sz w:val="1"/>
                <w:szCs w:val="1"/>
                <w:color w:val="auto"/>
              </w:rPr>
            </w:pPr>
          </w:p>
        </w:tc>
      </w:tr>
      <w:tr>
        <w:trPr>
          <w:trHeight w:val="270"/>
        </w:trPr>
        <w:tc>
          <w:tcPr>
            <w:tcW w:w="680" w:type="dxa"/>
            <w:vAlign w:val="bottom"/>
          </w:tcPr>
          <w:p>
            <w:pPr>
              <w:jc w:val="right"/>
              <w:ind w:right="151"/>
              <w:spacing w:after="0"/>
              <w:rPr>
                <w:sz w:val="20"/>
                <w:szCs w:val="20"/>
                <w:color w:val="auto"/>
              </w:rPr>
            </w:pPr>
            <w:r>
              <w:rPr>
                <w:rFonts w:ascii="Arial" w:cs="Arial" w:eastAsia="Arial" w:hAnsi="Arial"/>
                <w:sz w:val="18"/>
                <w:szCs w:val="18"/>
                <w:color w:val="auto"/>
              </w:rPr>
              <w:t>16.1</w:t>
            </w:r>
          </w:p>
        </w:tc>
        <w:tc>
          <w:tcPr>
            <w:tcW w:w="420" w:type="dxa"/>
            <w:vAlign w:val="bottom"/>
          </w:tcPr>
          <w:p>
            <w:pPr>
              <w:spacing w:after="0"/>
              <w:rPr>
                <w:sz w:val="23"/>
                <w:szCs w:val="23"/>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Letter from KPMG LLP to the Securities and Exchange Commission dated August 3, 2023</w:t>
            </w:r>
          </w:p>
        </w:tc>
        <w:tc>
          <w:tcPr>
            <w:tcW w:w="0" w:type="dxa"/>
            <w:vAlign w:val="bottom"/>
          </w:tcPr>
          <w:p>
            <w:pPr>
              <w:spacing w:after="0"/>
              <w:rPr>
                <w:sz w:val="1"/>
                <w:szCs w:val="1"/>
                <w:color w:val="auto"/>
              </w:rPr>
            </w:pPr>
          </w:p>
        </w:tc>
      </w:tr>
      <w:tr>
        <w:trPr>
          <w:trHeight w:val="270"/>
        </w:trPr>
        <w:tc>
          <w:tcPr>
            <w:tcW w:w="680" w:type="dxa"/>
            <w:vAlign w:val="bottom"/>
          </w:tcPr>
          <w:p>
            <w:pPr>
              <w:jc w:val="right"/>
              <w:ind w:right="71"/>
              <w:spacing w:after="0"/>
              <w:rPr>
                <w:sz w:val="20"/>
                <w:szCs w:val="20"/>
                <w:color w:val="auto"/>
              </w:rPr>
            </w:pPr>
            <w:r>
              <w:rPr>
                <w:rFonts w:ascii="Arial" w:cs="Arial" w:eastAsia="Arial" w:hAnsi="Arial"/>
                <w:sz w:val="18"/>
                <w:szCs w:val="18"/>
                <w:color w:val="auto"/>
              </w:rPr>
              <w:t>21.1*</w:t>
            </w:r>
          </w:p>
        </w:tc>
        <w:tc>
          <w:tcPr>
            <w:tcW w:w="420" w:type="dxa"/>
            <w:vAlign w:val="bottom"/>
          </w:tcPr>
          <w:p>
            <w:pPr>
              <w:spacing w:after="0"/>
              <w:rPr>
                <w:sz w:val="23"/>
                <w:szCs w:val="23"/>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270"/>
        </w:trPr>
        <w:tc>
          <w:tcPr>
            <w:tcW w:w="680" w:type="dxa"/>
            <w:vAlign w:val="bottom"/>
          </w:tcPr>
          <w:p>
            <w:pPr>
              <w:jc w:val="right"/>
              <w:ind w:right="71"/>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3"/>
                <w:szCs w:val="23"/>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c>
          <w:tcPr>
            <w:tcW w:w="0" w:type="dxa"/>
            <w:vAlign w:val="bottom"/>
          </w:tcPr>
          <w:p>
            <w:pPr>
              <w:spacing w:after="0"/>
              <w:rPr>
                <w:sz w:val="1"/>
                <w:szCs w:val="1"/>
                <w:color w:val="auto"/>
              </w:rPr>
            </w:pPr>
          </w:p>
        </w:tc>
      </w:tr>
      <w:tr>
        <w:trPr>
          <w:trHeight w:val="270"/>
        </w:trPr>
        <w:tc>
          <w:tcPr>
            <w:tcW w:w="680" w:type="dxa"/>
            <w:vAlign w:val="bottom"/>
          </w:tcPr>
          <w:p>
            <w:pPr>
              <w:jc w:val="right"/>
              <w:ind w:right="71"/>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23"/>
                <w:szCs w:val="23"/>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Consent of Goodwin Procter LLP (included in Exhibit 5.1)</w:t>
            </w:r>
          </w:p>
        </w:tc>
        <w:tc>
          <w:tcPr>
            <w:tcW w:w="0" w:type="dxa"/>
            <w:vAlign w:val="bottom"/>
          </w:tcPr>
          <w:p>
            <w:pPr>
              <w:spacing w:after="0"/>
              <w:rPr>
                <w:sz w:val="1"/>
                <w:szCs w:val="1"/>
                <w:color w:val="auto"/>
              </w:rPr>
            </w:pPr>
          </w:p>
        </w:tc>
      </w:tr>
      <w:tr>
        <w:trPr>
          <w:trHeight w:val="270"/>
        </w:trPr>
        <w:tc>
          <w:tcPr>
            <w:tcW w:w="680" w:type="dxa"/>
            <w:vAlign w:val="bottom"/>
          </w:tcPr>
          <w:p>
            <w:pPr>
              <w:jc w:val="right"/>
              <w:ind w:right="71"/>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23"/>
                <w:szCs w:val="23"/>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Power of Attorney (included on signature page to this registration statement)</w:t>
            </w:r>
          </w:p>
        </w:tc>
        <w:tc>
          <w:tcPr>
            <w:tcW w:w="0" w:type="dxa"/>
            <w:vAlign w:val="bottom"/>
          </w:tcPr>
          <w:p>
            <w:pPr>
              <w:spacing w:after="0"/>
              <w:rPr>
                <w:sz w:val="1"/>
                <w:szCs w:val="1"/>
                <w:color w:val="auto"/>
              </w:rPr>
            </w:pPr>
          </w:p>
        </w:tc>
      </w:tr>
      <w:tr>
        <w:trPr>
          <w:trHeight w:val="270"/>
        </w:trPr>
        <w:tc>
          <w:tcPr>
            <w:tcW w:w="680" w:type="dxa"/>
            <w:vAlign w:val="bottom"/>
          </w:tcPr>
          <w:p>
            <w:pPr>
              <w:jc w:val="right"/>
              <w:ind w:right="231"/>
              <w:spacing w:after="0"/>
              <w:rPr>
                <w:sz w:val="20"/>
                <w:szCs w:val="20"/>
                <w:color w:val="auto"/>
              </w:rPr>
            </w:pPr>
            <w:r>
              <w:rPr>
                <w:rFonts w:ascii="Arial" w:cs="Arial" w:eastAsia="Arial" w:hAnsi="Arial"/>
                <w:sz w:val="18"/>
                <w:szCs w:val="18"/>
                <w:color w:val="auto"/>
                <w:w w:val="91"/>
              </w:rPr>
              <w:t>107*</w:t>
            </w:r>
          </w:p>
        </w:tc>
        <w:tc>
          <w:tcPr>
            <w:tcW w:w="420" w:type="dxa"/>
            <w:vAlign w:val="bottom"/>
          </w:tcPr>
          <w:p>
            <w:pPr>
              <w:spacing w:after="0"/>
              <w:rPr>
                <w:sz w:val="23"/>
                <w:szCs w:val="23"/>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Filing Fees Exhibit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7152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2" w:lineRule="exact"/>
        <w:rPr>
          <w:sz w:val="20"/>
          <w:szCs w:val="20"/>
          <w:color w:val="auto"/>
        </w:rPr>
      </w:pPr>
    </w:p>
    <w:p>
      <w:pPr>
        <w:ind w:left="440" w:hanging="324"/>
        <w:spacing w:after="0"/>
        <w:tabs>
          <w:tab w:leader="none" w:pos="44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5" w:right="4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ind w:left="440" w:right="40" w:hanging="324"/>
        <w:spacing w:after="0" w:line="281" w:lineRule="auto"/>
        <w:tabs>
          <w:tab w:leader="none" w:pos="44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Portions of this exhibit (indicated by asterisks) will be omitted in accordance with the rules of the SEC because the Registrant has determined that information is not material and would be competitively harmful if publicly disclosed.</w:t>
      </w:r>
    </w:p>
    <w:p>
      <w:pPr>
        <w:spacing w:after="0" w:line="89" w:lineRule="exact"/>
        <w:rPr>
          <w:rFonts w:ascii="Arial" w:cs="Arial" w:eastAsia="Arial" w:hAnsi="Arial"/>
          <w:sz w:val="13"/>
          <w:szCs w:val="13"/>
          <w:color w:val="auto"/>
        </w:rPr>
      </w:pPr>
    </w:p>
    <w:p>
      <w:pPr>
        <w:ind w:left="1080" w:hanging="532"/>
        <w:spacing w:after="0"/>
        <w:tabs>
          <w:tab w:leader="none" w:pos="10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17. Undertakings</w:t>
      </w:r>
    </w:p>
    <w:p>
      <w:pPr>
        <w:spacing w:after="0" w:line="148" w:lineRule="exact"/>
        <w:rPr>
          <w:sz w:val="20"/>
          <w:szCs w:val="20"/>
          <w:color w:val="auto"/>
        </w:rPr>
      </w:pPr>
    </w:p>
    <w:p>
      <w:pPr>
        <w:ind w:left="120" w:right="420"/>
        <w:spacing w:after="0" w:line="253"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 that:</w:t>
      </w:r>
    </w:p>
    <w:p>
      <w:pPr>
        <w:spacing w:after="0" w:line="144" w:lineRule="exact"/>
        <w:rPr>
          <w:sz w:val="20"/>
          <w:szCs w:val="20"/>
          <w:color w:val="auto"/>
        </w:rPr>
      </w:pPr>
    </w:p>
    <w:p>
      <w:pPr>
        <w:ind w:left="1080" w:hanging="532"/>
        <w:spacing w:after="0" w:line="24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6" w:lineRule="exact"/>
        <w:rPr>
          <w:rFonts w:ascii="Arial" w:cs="Arial" w:eastAsia="Arial" w:hAnsi="Arial"/>
          <w:sz w:val="18"/>
          <w:szCs w:val="18"/>
          <w:color w:val="auto"/>
        </w:rPr>
      </w:pPr>
    </w:p>
    <w:p>
      <w:pPr>
        <w:ind w:left="1080" w:right="140" w:hanging="532"/>
        <w:spacing w:after="0" w:line="253"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20"/>
          </w:cols>
          <w:pgMar w:left="320" w:top="455" w:right="55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Signatures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the requirements of the Securities Act, Metagenomi Technologies, LLC has duly caused this registration statement on Form</w:t>
      </w:r>
    </w:p>
    <w:p>
      <w:pPr>
        <w:spacing w:after="0" w:line="9" w:lineRule="exact"/>
        <w:rPr>
          <w:sz w:val="20"/>
          <w:szCs w:val="20"/>
          <w:color w:val="auto"/>
        </w:rPr>
      </w:pPr>
    </w:p>
    <w:p>
      <w:pPr>
        <w:ind w:left="120"/>
        <w:spacing w:after="0"/>
        <w:tabs>
          <w:tab w:leader="none" w:pos="10380" w:val="left"/>
        </w:tabs>
        <w:rPr>
          <w:sz w:val="20"/>
          <w:szCs w:val="20"/>
          <w:color w:val="auto"/>
        </w:rPr>
      </w:pPr>
      <w:r>
        <w:rPr>
          <w:rFonts w:ascii="Arial" w:cs="Arial" w:eastAsia="Arial" w:hAnsi="Arial"/>
          <w:sz w:val="18"/>
          <w:szCs w:val="18"/>
          <w:color w:val="auto"/>
        </w:rPr>
        <w:t>S-1 to be signed on its behalf by the undersigned, thereunto duly authorized, in the City of Emeryville, California, on the</w:t>
      </w:r>
      <w:r>
        <w:rPr>
          <w:sz w:val="20"/>
          <w:szCs w:val="20"/>
          <w:color w:val="auto"/>
        </w:rPr>
        <w:tab/>
      </w:r>
      <w:r>
        <w:rPr>
          <w:rFonts w:ascii="Arial" w:cs="Arial" w:eastAsia="Arial" w:hAnsi="Arial"/>
          <w:sz w:val="17"/>
          <w:szCs w:val="17"/>
          <w:color w:val="auto"/>
        </w:rPr>
        <w:t>day</w:t>
      </w:r>
    </w:p>
    <w:p>
      <w:pPr>
        <w:ind w:left="120"/>
        <w:spacing w:after="0"/>
        <w:tabs>
          <w:tab w:leader="none" w:pos="84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 2023.</w:t>
      </w:r>
    </w:p>
    <w:p>
      <w:pPr>
        <w:spacing w:after="0" w:line="12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Metagenomi Technologies, LLC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56286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Brian C. Thomas, Ph.D.</w:t>
      </w:r>
    </w:p>
    <w:p>
      <w:pPr>
        <w:spacing w:after="0" w:line="4"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Signatures and Power of Attorney</w:t>
      </w:r>
    </w:p>
    <w:p>
      <w:pPr>
        <w:spacing w:after="0" w:line="168"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Brian C. Thomas and Michael Conway, and each of them, either of whom may act without the joinder of the other, as his true and lawful attorneys-in-fact and agents with full power of substitution and re-substitution, for him or her and in his or her name, place and stead, in any and all capacities, to sign any and all amendments (including post-effective amendments) to this registration statement, and to sign any registration statement for the same offering covered by the registration statement that is to be effective upon filing pursuant to</w:t>
      </w:r>
    </w:p>
    <w:p>
      <w:pPr>
        <w:spacing w:after="0" w:line="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Rule 462(b) promulgated under the Securities Act, and all post-effective amendments thereto, and to file the same, with all exhibits thereto and all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or her or their substitute or substitutes, may lawfully do or cause to be done or by virtue hereof.</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20"/>
          </w:cols>
          <w:pgMar w:left="320" w:top="455" w:right="45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1980" w:type="dxa"/>
            <w:vAlign w:val="bottom"/>
          </w:tcPr>
          <w:p>
            <w:pPr>
              <w:spacing w:after="0"/>
              <w:rPr>
                <w:sz w:val="20"/>
                <w:szCs w:val="20"/>
                <w:color w:val="auto"/>
              </w:rPr>
            </w:pPr>
            <w:r>
              <w:rPr>
                <w:rFonts w:ascii="Arial" w:cs="Arial" w:eastAsia="Arial" w:hAnsi="Arial"/>
                <w:sz w:val="18"/>
                <w:szCs w:val="18"/>
                <w:color w:val="auto"/>
              </w:rPr>
              <w:t>indicated on the</w:t>
            </w:r>
          </w:p>
        </w:tc>
        <w:tc>
          <w:tcPr>
            <w:tcW w:w="880" w:type="dxa"/>
            <w:vAlign w:val="bottom"/>
          </w:tcPr>
          <w:p>
            <w:pPr>
              <w:ind w:left="80"/>
              <w:spacing w:after="0"/>
              <w:rPr>
                <w:sz w:val="20"/>
                <w:szCs w:val="20"/>
                <w:color w:val="auto"/>
              </w:rPr>
            </w:pPr>
            <w:r>
              <w:rPr>
                <w:rFonts w:ascii="Arial" w:cs="Arial" w:eastAsia="Arial" w:hAnsi="Arial"/>
                <w:sz w:val="18"/>
                <w:szCs w:val="18"/>
                <w:color w:val="auto"/>
              </w:rPr>
              <w:t>day of</w:t>
            </w:r>
          </w:p>
        </w:tc>
        <w:tc>
          <w:tcPr>
            <w:tcW w:w="2860" w:type="dxa"/>
            <w:vAlign w:val="bottom"/>
          </w:tcPr>
          <w:p>
            <w:pPr>
              <w:jc w:val="right"/>
              <w:ind w:right="1930"/>
              <w:spacing w:after="0"/>
              <w:rPr>
                <w:sz w:val="20"/>
                <w:szCs w:val="20"/>
                <w:color w:val="auto"/>
              </w:rPr>
            </w:pPr>
            <w:r>
              <w:rPr>
                <w:rFonts w:ascii="Arial" w:cs="Arial" w:eastAsia="Arial" w:hAnsi="Arial"/>
                <w:sz w:val="18"/>
                <w:szCs w:val="18"/>
                <w:color w:val="auto"/>
              </w:rPr>
              <w:t>, 2023.</w:t>
            </w:r>
          </w:p>
        </w:tc>
        <w:tc>
          <w:tcPr>
            <w:tcW w:w="22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288"/>
        </w:trPr>
        <w:tc>
          <w:tcPr>
            <w:tcW w:w="19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2"/>
          </w:tcPr>
          <w:p>
            <w:pPr>
              <w:jc w:val="right"/>
              <w:ind w:right="245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24"/>
                <w:szCs w:val="24"/>
                <w:color w:val="auto"/>
              </w:rPr>
            </w:pP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r>
      <w:tr>
        <w:trPr>
          <w:trHeight w:val="250"/>
        </w:trPr>
        <w:tc>
          <w:tcPr>
            <w:tcW w:w="19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r>
        <w:trPr>
          <w:trHeight w:val="232"/>
        </w:trPr>
        <w:tc>
          <w:tcPr>
            <w:tcW w:w="1980" w:type="dxa"/>
            <w:vAlign w:val="bottom"/>
          </w:tcPr>
          <w:p>
            <w:pPr>
              <w:spacing w:after="0"/>
              <w:rPr>
                <w:sz w:val="20"/>
                <w:szCs w:val="20"/>
                <w:color w:val="auto"/>
              </w:rPr>
            </w:pPr>
            <w:r>
              <w:rPr>
                <w:rFonts w:ascii="Arial" w:cs="Arial" w:eastAsia="Arial" w:hAnsi="Arial"/>
                <w:sz w:val="18"/>
                <w:szCs w:val="18"/>
                <w:color w:val="auto"/>
              </w:rPr>
              <w:t>Brian C. Thomas, Ph.D.</w:t>
            </w:r>
          </w:p>
        </w:tc>
        <w:tc>
          <w:tcPr>
            <w:tcW w:w="8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r>
        <w:trPr>
          <w:trHeight w:val="247"/>
        </w:trPr>
        <w:tc>
          <w:tcPr>
            <w:tcW w:w="19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9"/>
              </w:rPr>
              <w:t>Vice President of Finance</w:t>
            </w:r>
          </w:p>
        </w:tc>
      </w:tr>
      <w:tr>
        <w:trPr>
          <w:trHeight w:val="232"/>
        </w:trPr>
        <w:tc>
          <w:tcPr>
            <w:tcW w:w="2860" w:type="dxa"/>
            <w:vAlign w:val="bottom"/>
            <w:gridSpan w:val="2"/>
          </w:tcPr>
          <w:p>
            <w:pPr>
              <w:spacing w:after="0"/>
              <w:rPr>
                <w:sz w:val="20"/>
                <w:szCs w:val="20"/>
                <w:color w:val="auto"/>
              </w:rPr>
            </w:pPr>
            <w:r>
              <w:rPr>
                <w:rFonts w:ascii="Arial" w:cs="Arial" w:eastAsia="Arial" w:hAnsi="Arial"/>
                <w:sz w:val="18"/>
                <w:szCs w:val="18"/>
                <w:color w:val="auto"/>
              </w:rPr>
              <w:t>Michael Conway, MBA, CPA</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9"/>
              </w:rPr>
              <w:t>(Principal Financial Officer and Principal Accounting Officer)</w:t>
            </w:r>
          </w:p>
        </w:tc>
      </w:tr>
    </w:tbl>
    <w:p>
      <w:pPr>
        <w:spacing w:after="0" w:line="53"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363474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Juergen Eckhardt, M.D., MBA</w:t>
      </w:r>
    </w:p>
    <w:p>
      <w:pPr>
        <w:spacing w:after="0" w:line="72"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363474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Sebastián Bernales, Ph.D.</w:t>
      </w:r>
    </w:p>
    <w:p>
      <w:pPr>
        <w:spacing w:after="0" w:line="72"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363474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Risa Stack, Ph.D.</w:t>
      </w:r>
    </w:p>
    <w:p>
      <w:pPr>
        <w:spacing w:after="0" w:line="72"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363474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Willard Dere, M.D.</w:t>
      </w:r>
    </w:p>
    <w:p>
      <w:pPr>
        <w:spacing w:after="0" w:line="72"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363474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Santhosh Palani, Ph.D.</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40"/>
          </w:cols>
          <w:pgMar w:left="320" w:top="455" w:right="43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857250" cy="3771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5725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KPMG LLP</w:t>
      </w:r>
    </w:p>
    <w:p>
      <w:pPr>
        <w:spacing w:after="0" w:line="1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Suite 1400</w:t>
      </w:r>
    </w:p>
    <w:p>
      <w:pPr>
        <w:spacing w:after="0" w:line="1"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55 Second Street</w:t>
      </w:r>
    </w:p>
    <w:p>
      <w:pPr>
        <w:spacing w:after="0" w:line="1"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San Francisco, CA 94105</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August 3, 2023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44"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We were previously engaged as principal accountants to audit the consolidated financial statements of Metagenomi Technologies, LLC., (the “Company”) as of and for the year ended December 31, 2020. Since the date of our appointment, we never issued an audit report on the Company’s consolidated financial statements. On April 28, 2022, we were dismissed.</w:t>
      </w:r>
    </w:p>
    <w:p>
      <w:pPr>
        <w:spacing w:after="0" w:line="101"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We have read the statements made by the Company under the heading “Changes in independent registered public accounting firm” included in its Form S-1 dated August 3, 2023, and we agree with such statements, except that we are not in a position to agree or disagree with the Company’s statement in the third paragraph relating that the Audit Committee of the board of directors dismissed us, or any of the Company’s statements in the seventh and eight paragraphs relating to the engagement of PricewaterhouseCoopers LLP and any consultation with them during the Company’s most recent two fiscal years and subsequent interim period.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1)"/>
      <w:numFmt w:val="decimal"/>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
      <w:numFmt w:val="bullet"/>
      <w:start w:val="1"/>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
      <w:numFmt w:val="bullet"/>
      <w:start w:val="1"/>
    </w:lvl>
  </w:abstractNum>
  <w:abstractNum w:abstractNumId="9">
    <w:nsid w:val="11447B73"/>
    <w:multiLevelType w:val="hybridMultilevel"/>
    <w:lvl w:ilvl="0">
      <w:lvlJc w:val="left"/>
      <w:lvlText w:val="•"/>
      <w:numFmt w:val="bullet"/>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
      <w:numFmt w:val="bullet"/>
      <w:start w:val="1"/>
    </w:lvl>
  </w:abstractNum>
  <w:abstractNum w:abstractNumId="12">
    <w:nsid w:val="8F2B15E"/>
    <w:multiLevelType w:val="hybridMultilevel"/>
    <w:lvl w:ilvl="0">
      <w:lvlJc w:val="left"/>
      <w:lvlText w:val="(%1)"/>
      <w:numFmt w:val="decimal"/>
      <w:start w:val="3"/>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
      <w:numFmt w:val="bullet"/>
      <w:start w:val="1"/>
    </w:lvl>
  </w:abstractNum>
  <w:abstractNum w:abstractNumId="15">
    <w:nsid w:val="68EB2F63"/>
    <w:multiLevelType w:val="hybridMultilevel"/>
    <w:lvl w:ilvl="0">
      <w:lvlJc w:val="left"/>
      <w:lvlText w:val="•"/>
      <w:numFmt w:val="bullet"/>
      <w:start w:val="1"/>
    </w:lvl>
  </w:abstractNum>
  <w:abstractNum w:abstractNumId="16">
    <w:nsid w:val="4962813B"/>
    <w:multiLevelType w:val="hybridMultilevel"/>
    <w:lvl w:ilvl="0">
      <w:lvlJc w:val="left"/>
      <w:lvlText w:val="•"/>
      <w:numFmt w:val="bullet"/>
      <w:start w:val="1"/>
    </w:lvl>
  </w:abstractNum>
  <w:abstractNum w:abstractNumId="17">
    <w:nsid w:val="60B6DF70"/>
    <w:multiLevelType w:val="hybridMultilevel"/>
    <w:lvl w:ilvl="0">
      <w:lvlJc w:val="left"/>
      <w:lvlText w:val="•"/>
      <w:numFmt w:val="bullet"/>
      <w:start w:val="1"/>
    </w:lvl>
  </w:abstractNum>
  <w:abstractNum w:abstractNumId="18">
    <w:nsid w:val="6A5EE64"/>
    <w:multiLevelType w:val="hybridMultilevel"/>
    <w:lvl w:ilvl="0">
      <w:lvlJc w:val="left"/>
      <w:lvlText w:val="•"/>
      <w:numFmt w:val="bullet"/>
      <w:start w:val="1"/>
    </w:lvl>
  </w:abstractNum>
  <w:abstractNum w:abstractNumId="19">
    <w:nsid w:val="14330624"/>
    <w:multiLevelType w:val="hybridMultilevel"/>
    <w:lvl w:ilvl="0">
      <w:lvlJc w:val="left"/>
      <w:lvlText w:val="•"/>
      <w:numFmt w:val="bullet"/>
      <w:start w:val="1"/>
    </w:lvl>
  </w:abstractNum>
  <w:abstractNum w:abstractNumId="20">
    <w:nsid w:val="7FFFCA11"/>
    <w:multiLevelType w:val="hybridMultilevel"/>
    <w:lvl w:ilvl="0">
      <w:lvlJc w:val="left"/>
      <w:lvlText w:val="•"/>
      <w:numFmt w:val="bullet"/>
      <w:start w:val="1"/>
    </w:lvl>
  </w:abstractNum>
  <w:abstractNum w:abstractNumId="21">
    <w:nsid w:val="1A27709E"/>
    <w:multiLevelType w:val="hybridMultilevel"/>
    <w:lvl w:ilvl="0">
      <w:lvlJc w:val="left"/>
      <w:lvlText w:val="•"/>
      <w:numFmt w:val="bullet"/>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abstractNum>
  <w:abstractNum w:abstractNumId="27">
    <w:nsid w:val="94211F2"/>
    <w:multiLevelType w:val="hybridMultilevel"/>
    <w:lvl w:ilvl="0">
      <w:lvlJc w:val="left"/>
      <w:lvlText w:val="•"/>
      <w:numFmt w:val="bullet"/>
      <w:start w:val="1"/>
    </w:lvl>
  </w:abstractNum>
  <w:abstractNum w:abstractNumId="28">
    <w:nsid w:val="885E1B"/>
    <w:multiLevelType w:val="hybridMultilevel"/>
    <w:lvl w:ilvl="0">
      <w:lvlJc w:val="left"/>
      <w:lvlText w:val="•"/>
      <w:numFmt w:val="bullet"/>
      <w:start w:val="1"/>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1)"/>
      <w:numFmt w:val="decimal"/>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
      <w:numFmt w:val="bullet"/>
      <w:start w:val="1"/>
    </w:lvl>
  </w:abstractNum>
  <w:abstractNum w:abstractNumId="35">
    <w:nsid w:val="68EBC550"/>
    <w:multiLevelType w:val="hybridMultilevel"/>
    <w:lvl w:ilvl="0">
      <w:lvlJc w:val="left"/>
      <w:lvlText w:val="•"/>
      <w:numFmt w:val="bullet"/>
      <w:start w:val="1"/>
    </w:lvl>
  </w:abstractNum>
  <w:abstractNum w:abstractNumId="36">
    <w:nsid w:val="2DF6D648"/>
    <w:multiLevelType w:val="hybridMultilevel"/>
    <w:lvl w:ilvl="0">
      <w:lvlJc w:val="left"/>
      <w:lvlText w:val="•"/>
      <w:numFmt w:val="bullet"/>
      <w:start w:val="1"/>
    </w:lvl>
  </w:abstractNum>
  <w:abstractNum w:abstractNumId="37">
    <w:nsid w:val="46B7D447"/>
    <w:multiLevelType w:val="hybridMultilevel"/>
    <w:lvl w:ilvl="0">
      <w:lvlJc w:val="left"/>
      <w:lvlText w:val="•"/>
      <w:numFmt w:val="bullet"/>
      <w:start w:val="1"/>
    </w:lvl>
  </w:abstractNum>
  <w:abstractNum w:abstractNumId="38">
    <w:nsid w:val="4A2AC315"/>
    <w:multiLevelType w:val="hybridMultilevel"/>
    <w:lvl w:ilvl="0">
      <w:lvlJc w:val="left"/>
      <w:lvlText w:val="•"/>
      <w:numFmt w:val="bullet"/>
      <w:start w:val="1"/>
    </w:lvl>
  </w:abstractNum>
  <w:abstractNum w:abstractNumId="39">
    <w:nsid w:val="39EE015C"/>
    <w:multiLevelType w:val="hybridMultilevel"/>
    <w:lvl w:ilvl="0">
      <w:lvlJc w:val="left"/>
      <w:lvlText w:val="•"/>
      <w:numFmt w:val="bullet"/>
      <w:start w:val="1"/>
    </w:lvl>
  </w:abstractNum>
  <w:abstractNum w:abstractNumId="40">
    <w:nsid w:val="57FC4FBB"/>
    <w:multiLevelType w:val="hybridMultilevel"/>
    <w:lvl w:ilvl="0">
      <w:lvlJc w:val="left"/>
      <w:lvlText w:val="•"/>
      <w:numFmt w:val="bullet"/>
      <w:start w:val="1"/>
    </w:lvl>
  </w:abstractNum>
  <w:abstractNum w:abstractNumId="41">
    <w:nsid w:val="CC1016F"/>
    <w:multiLevelType w:val="hybridMultilevel"/>
    <w:lvl w:ilvl="0">
      <w:lvlJc w:val="left"/>
      <w:lvlText w:val="•"/>
      <w:numFmt w:val="bullet"/>
      <w:start w:val="1"/>
    </w:lvl>
  </w:abstractNum>
  <w:abstractNum w:abstractNumId="42">
    <w:nsid w:val="43F18422"/>
    <w:multiLevelType w:val="hybridMultilevel"/>
    <w:lvl w:ilvl="0">
      <w:lvlJc w:val="left"/>
      <w:lvlText w:val="•"/>
      <w:numFmt w:val="bullet"/>
      <w:start w:val="1"/>
    </w:lvl>
  </w:abstractNum>
  <w:abstractNum w:abstractNumId="43">
    <w:nsid w:val="60EF0119"/>
    <w:multiLevelType w:val="hybridMultilevel"/>
    <w:lvl w:ilvl="0">
      <w:lvlJc w:val="left"/>
      <w:lvlText w:val="•"/>
      <w:numFmt w:val="bullet"/>
      <w:start w:val="1"/>
    </w:lvl>
  </w:abstractNum>
  <w:abstractNum w:abstractNumId="44">
    <w:nsid w:val="26F324BA"/>
    <w:multiLevelType w:val="hybridMultilevel"/>
    <w:lvl w:ilvl="0">
      <w:lvlJc w:val="left"/>
      <w:lvlText w:val="•"/>
      <w:numFmt w:val="bullet"/>
      <w:start w:val="1"/>
    </w:lvl>
  </w:abstractNum>
  <w:abstractNum w:abstractNumId="45">
    <w:nsid w:val="7F01579B"/>
    <w:multiLevelType w:val="hybridMultilevel"/>
    <w:lvl w:ilvl="0">
      <w:lvlJc w:val="left"/>
      <w:lvlText w:val="•"/>
      <w:numFmt w:val="bullet"/>
      <w:start w:val="1"/>
    </w:lvl>
  </w:abstractNum>
  <w:abstractNum w:abstractNumId="46">
    <w:nsid w:val="49DA307D"/>
    <w:multiLevelType w:val="hybridMultilevel"/>
    <w:lvl w:ilvl="0">
      <w:lvlJc w:val="left"/>
      <w:lvlText w:val="•"/>
      <w:numFmt w:val="bullet"/>
      <w:start w:val="1"/>
    </w:lvl>
  </w:abstractNum>
  <w:abstractNum w:abstractNumId="47">
    <w:nsid w:val="7055A5F5"/>
    <w:multiLevelType w:val="hybridMultilevel"/>
    <w:lvl w:ilvl="0">
      <w:lvlJc w:val="left"/>
      <w:lvlText w:val="•"/>
      <w:numFmt w:val="bullet"/>
      <w:start w:val="1"/>
    </w:lvl>
  </w:abstractNum>
  <w:abstractNum w:abstractNumId="48">
    <w:nsid w:val="5FB8370B"/>
    <w:multiLevelType w:val="hybridMultilevel"/>
    <w:lvl w:ilvl="0">
      <w:lvlJc w:val="left"/>
      <w:lvlText w:val="•"/>
      <w:numFmt w:val="bullet"/>
      <w:start w:val="1"/>
    </w:lvl>
  </w:abstractNum>
  <w:abstractNum w:abstractNumId="49">
    <w:nsid w:val="50801EE1"/>
    <w:multiLevelType w:val="hybridMultilevel"/>
    <w:lvl w:ilvl="0">
      <w:lvlJc w:val="left"/>
      <w:lvlText w:val="•"/>
      <w:numFmt w:val="bullet"/>
      <w:start w:val="1"/>
    </w:lvl>
  </w:abstractNum>
  <w:abstractNum w:abstractNumId="50">
    <w:nsid w:val="488AC1A"/>
    <w:multiLevelType w:val="hybridMultilevel"/>
    <w:lvl w:ilvl="0">
      <w:lvlJc w:val="left"/>
      <w:lvlText w:val="•"/>
      <w:numFmt w:val="bullet"/>
      <w:start w:val="1"/>
    </w:lvl>
  </w:abstractNum>
  <w:abstractNum w:abstractNumId="51">
    <w:nsid w:val="5FB8011C"/>
    <w:multiLevelType w:val="hybridMultilevel"/>
    <w:lvl w:ilvl="0">
      <w:lvlJc w:val="left"/>
      <w:lvlText w:val="•"/>
      <w:numFmt w:val="bullet"/>
      <w:start w:val="1"/>
    </w:lvl>
  </w:abstractNum>
  <w:abstractNum w:abstractNumId="52">
    <w:nsid w:val="6AA78F7F"/>
    <w:multiLevelType w:val="hybridMultilevel"/>
    <w:lvl w:ilvl="0">
      <w:lvlJc w:val="left"/>
      <w:lvlText w:val="•"/>
      <w:numFmt w:val="bullet"/>
      <w:start w:val="1"/>
    </w:lvl>
  </w:abstractNum>
  <w:abstractNum w:abstractNumId="53">
    <w:nsid w:val="7672BD23"/>
    <w:multiLevelType w:val="hybridMultilevel"/>
    <w:lvl w:ilvl="0">
      <w:lvlJc w:val="left"/>
      <w:lvlText w:val="•"/>
      <w:numFmt w:val="bullet"/>
      <w:start w:val="1"/>
    </w:lvl>
  </w:abstractNum>
  <w:abstractNum w:abstractNumId="54">
    <w:nsid w:val="6FC75AF8"/>
    <w:multiLevelType w:val="hybridMultilevel"/>
    <w:lvl w:ilvl="0">
      <w:lvlJc w:val="left"/>
      <w:lvlText w:val="•"/>
      <w:numFmt w:val="bullet"/>
      <w:start w:val="1"/>
    </w:lvl>
  </w:abstractNum>
  <w:abstractNum w:abstractNumId="55">
    <w:nsid w:val="6A5F7029"/>
    <w:multiLevelType w:val="hybridMultilevel"/>
    <w:lvl w:ilvl="0">
      <w:lvlJc w:val="left"/>
      <w:lvlText w:val="•"/>
      <w:numFmt w:val="bullet"/>
      <w:start w:val="1"/>
    </w:lvl>
  </w:abstractNum>
  <w:abstractNum w:abstractNumId="56">
    <w:nsid w:val="7D5E18F8"/>
    <w:multiLevelType w:val="hybridMultilevel"/>
    <w:lvl w:ilvl="0">
      <w:lvlJc w:val="left"/>
      <w:lvlText w:val="$"/>
      <w:numFmt w:val="bullet"/>
      <w:start w:val="1"/>
    </w:lvl>
  </w:abstractNum>
  <w:abstractNum w:abstractNumId="57">
    <w:nsid w:val="5F3534A4"/>
    <w:multiLevelType w:val="hybridMultilevel"/>
    <w:lvl w:ilvl="0">
      <w:lvlJc w:val="left"/>
      <w:lvlText w:val="(%1)"/>
      <w:numFmt w:val="lowerRoman"/>
      <w:start w:val="3"/>
    </w:lvl>
  </w:abstractNum>
  <w:abstractNum w:abstractNumId="58">
    <w:nsid w:val="73A1821B"/>
    <w:multiLevelType w:val="hybridMultilevel"/>
    <w:lvl w:ilvl="0">
      <w:lvlJc w:val="left"/>
      <w:lvlText w:val="•"/>
      <w:numFmt w:val="bullet"/>
      <w:start w:val="1"/>
    </w:lvl>
  </w:abstractNum>
  <w:abstractNum w:abstractNumId="59">
    <w:nsid w:val="7DE67713"/>
    <w:multiLevelType w:val="hybridMultilevel"/>
    <w:lvl w:ilvl="0">
      <w:lvlJc w:val="left"/>
      <w:lvlText w:val="$"/>
      <w:numFmt w:val="bullet"/>
      <w:start w:val="1"/>
    </w:lvl>
  </w:abstractNum>
  <w:abstractNum w:abstractNumId="60">
    <w:nsid w:val="555C55B5"/>
    <w:multiLevelType w:val="hybridMultilevel"/>
    <w:lvl w:ilvl="0">
      <w:lvlJc w:val="left"/>
      <w:lvlText w:val="•"/>
      <w:numFmt w:val="bullet"/>
      <w:start w:val="1"/>
    </w:lvl>
  </w:abstractNum>
  <w:abstractNum w:abstractNumId="61">
    <w:nsid w:val="3FA62ACA"/>
    <w:multiLevelType w:val="hybridMultilevel"/>
    <w:lvl w:ilvl="0">
      <w:lvlJc w:val="left"/>
      <w:lvlText w:val="•"/>
      <w:numFmt w:val="bullet"/>
      <w:start w:val="1"/>
    </w:lvl>
  </w:abstractNum>
  <w:abstractNum w:abstractNumId="62">
    <w:nsid w:val="14FCE74E"/>
    <w:multiLevelType w:val="hybridMultilevel"/>
    <w:lvl w:ilvl="0">
      <w:lvlJc w:val="left"/>
      <w:lvlText w:val="•"/>
      <w:numFmt w:val="bullet"/>
      <w:start w:val="1"/>
    </w:lvl>
  </w:abstractNum>
  <w:abstractNum w:abstractNumId="63">
    <w:nsid w:val="6A3DD3E8"/>
    <w:multiLevelType w:val="hybridMultilevel"/>
    <w:lvl w:ilvl="0">
      <w:lvlJc w:val="left"/>
      <w:lvlText w:val="(%1)"/>
      <w:numFmt w:val="lowerRoman"/>
      <w:start w:val="3"/>
    </w:lvl>
  </w:abstractNum>
  <w:abstractNum w:abstractNumId="64">
    <w:nsid w:val="71C91298"/>
    <w:multiLevelType w:val="hybridMultilevel"/>
    <w:lvl w:ilvl="0">
      <w:lvlJc w:val="left"/>
      <w:lvlText w:val="•"/>
      <w:numFmt w:val="bullet"/>
      <w:start w:val="1"/>
    </w:lvl>
  </w:abstractNum>
  <w:abstractNum w:abstractNumId="65">
    <w:nsid w:val="9DAF632"/>
    <w:multiLevelType w:val="hybridMultilevel"/>
    <w:lvl w:ilvl="0">
      <w:lvlJc w:val="left"/>
      <w:lvlText w:val="$"/>
      <w:numFmt w:val="bullet"/>
      <w:start w:val="1"/>
    </w:lvl>
  </w:abstractNum>
  <w:abstractNum w:abstractNumId="66">
    <w:nsid w:val="53299938"/>
    <w:multiLevelType w:val="hybridMultilevel"/>
    <w:lvl w:ilvl="0">
      <w:lvlJc w:val="left"/>
      <w:lvlText w:val="(%1)"/>
      <w:numFmt w:val="lowerRoman"/>
      <w:start w:val="3"/>
    </w:lvl>
  </w:abstractNum>
  <w:abstractNum w:abstractNumId="67">
    <w:nsid w:val="1FBFE8E0"/>
    <w:multiLevelType w:val="hybridMultilevel"/>
    <w:lvl w:ilvl="0">
      <w:lvlJc w:val="left"/>
      <w:lvlText w:val="•"/>
      <w:numFmt w:val="bullet"/>
      <w:start w:val="1"/>
    </w:lvl>
  </w:abstractNum>
  <w:abstractNum w:abstractNumId="68">
    <w:nsid w:val="5092CA79"/>
    <w:multiLevelType w:val="hybridMultilevel"/>
    <w:lvl w:ilvl="0">
      <w:lvlJc w:val="left"/>
      <w:lvlText w:val="•"/>
      <w:numFmt w:val="bullet"/>
      <w:start w:val="1"/>
    </w:lvl>
  </w:abstractNum>
  <w:abstractNum w:abstractNumId="69">
    <w:nsid w:val="1D545C4D"/>
    <w:multiLevelType w:val="hybridMultilevel"/>
    <w:lvl w:ilvl="0">
      <w:lvlJc w:val="left"/>
      <w:lvlText w:val="•"/>
      <w:numFmt w:val="bullet"/>
      <w:start w:val="1"/>
    </w:lvl>
  </w:abstractNum>
  <w:abstractNum w:abstractNumId="70">
    <w:nsid w:val="59ADEA3D"/>
    <w:multiLevelType w:val="hybridMultilevel"/>
    <w:lvl w:ilvl="0">
      <w:lvlJc w:val="left"/>
      <w:lvlText w:val="•"/>
      <w:numFmt w:val="bullet"/>
      <w:start w:val="1"/>
    </w:lvl>
  </w:abstractNum>
  <w:abstractNum w:abstractNumId="71">
    <w:nsid w:val="288F1A34"/>
    <w:multiLevelType w:val="hybridMultilevel"/>
    <w:lvl w:ilvl="0">
      <w:lvlJc w:val="left"/>
      <w:lvlText w:val="%1)"/>
      <w:numFmt w:val="decimal"/>
      <w:start w:val="1"/>
    </w:lvl>
  </w:abstractNum>
  <w:abstractNum w:abstractNumId="72">
    <w:nsid w:val="2A155DBC"/>
    <w:multiLevelType w:val="hybridMultilevel"/>
    <w:lvl w:ilvl="0">
      <w:lvlJc w:val="left"/>
      <w:lvlText w:val="%1)"/>
      <w:numFmt w:val="decimal"/>
      <w:start w:val="1"/>
    </w:lvl>
  </w:abstractNum>
  <w:abstractNum w:abstractNumId="73">
    <w:nsid w:val="1D9F6E5F"/>
    <w:multiLevelType w:val="hybridMultilevel"/>
    <w:lvl w:ilvl="0">
      <w:lvlJc w:val="left"/>
      <w:lvlText w:val="*"/>
      <w:numFmt w:val="bullet"/>
      <w:start w:val="1"/>
    </w:lvl>
  </w:abstractNum>
  <w:abstractNum w:abstractNumId="74">
    <w:nsid w:val="97E1B4E"/>
    <w:multiLevelType w:val="hybridMultilevel"/>
    <w:lvl w:ilvl="0">
      <w:lvlJc w:val="left"/>
      <w:lvlText w:val="*"/>
      <w:numFmt w:val="bullet"/>
      <w:start w:val="1"/>
    </w:lvl>
  </w:abstractNum>
  <w:abstractNum w:abstractNumId="75">
    <w:nsid w:val="51088277"/>
    <w:multiLevelType w:val="hybridMultilevel"/>
    <w:lvl w:ilvl="0">
      <w:lvlJc w:val="left"/>
      <w:lvlText w:val="*"/>
      <w:numFmt w:val="bullet"/>
      <w:start w:val="1"/>
    </w:lvl>
  </w:abstractNum>
  <w:abstractNum w:abstractNumId="76">
    <w:nsid w:val="1CA0C5FA"/>
    <w:multiLevelType w:val="hybridMultilevel"/>
    <w:lvl w:ilvl="0">
      <w:lvlJc w:val="left"/>
      <w:lvlText w:val="*"/>
      <w:numFmt w:val="bullet"/>
      <w:start w:val="1"/>
    </w:lvl>
  </w:abstractNum>
  <w:abstractNum w:abstractNumId="77">
    <w:nsid w:val="53584BCB"/>
    <w:multiLevelType w:val="hybridMultilevel"/>
    <w:lvl w:ilvl="0">
      <w:lvlJc w:val="left"/>
      <w:lvlText w:val="*"/>
      <w:numFmt w:val="bullet"/>
      <w:start w:val="1"/>
    </w:lvl>
  </w:abstractNum>
  <w:abstractNum w:abstractNumId="78">
    <w:nsid w:val="415E286C"/>
    <w:multiLevelType w:val="hybridMultilevel"/>
    <w:lvl w:ilvl="0">
      <w:lvlJc w:val="left"/>
      <w:lvlText w:val="*"/>
      <w:numFmt w:val="bullet"/>
      <w:start w:val="1"/>
    </w:lvl>
  </w:abstractNum>
  <w:abstractNum w:abstractNumId="79">
    <w:nsid w:val="7C58FD05"/>
    <w:multiLevelType w:val="hybridMultilevel"/>
    <w:lvl w:ilvl="0">
      <w:lvlJc w:val="left"/>
      <w:lvlText w:val="*"/>
      <w:numFmt w:val="bullet"/>
      <w:start w:val="1"/>
    </w:lvl>
  </w:abstractNum>
  <w:abstractNum w:abstractNumId="80">
    <w:nsid w:val="23D86AAC"/>
    <w:multiLevelType w:val="hybridMultilevel"/>
    <w:lvl w:ilvl="0">
      <w:lvlJc w:val="left"/>
      <w:lvlText w:val="(%1)"/>
      <w:numFmt w:val="decimal"/>
      <w:start w:val="2"/>
    </w:lvl>
  </w:abstractNum>
  <w:abstractNum w:abstractNumId="81">
    <w:nsid w:val="45E6D486"/>
    <w:multiLevelType w:val="hybridMultilevel"/>
    <w:lvl w:ilvl="0">
      <w:lvlJc w:val="left"/>
      <w:lvlText w:val="*"/>
      <w:numFmt w:val="bullet"/>
      <w:start w:val="1"/>
    </w:lvl>
  </w:abstractNum>
  <w:abstractNum w:abstractNumId="82">
    <w:nsid w:val="5C10FE21"/>
    <w:multiLevelType w:val="hybridMultilevel"/>
    <w:lvl w:ilvl="0">
      <w:lvlJc w:val="left"/>
      <w:lvlText w:val="•"/>
      <w:numFmt w:val="bullet"/>
      <w:start w:val="1"/>
    </w:lvl>
  </w:abstractNum>
  <w:abstractNum w:abstractNumId="83">
    <w:nsid w:val="E7FFA2B"/>
    <w:multiLevelType w:val="hybridMultilevel"/>
    <w:lvl w:ilvl="0">
      <w:lvlJc w:val="left"/>
      <w:lvlText w:val="•"/>
      <w:numFmt w:val="bullet"/>
      <w:start w:val="1"/>
    </w:lvl>
  </w:abstractNum>
  <w:abstractNum w:abstractNumId="84">
    <w:nsid w:val="3C5991AA"/>
    <w:multiLevelType w:val="hybridMultilevel"/>
    <w:lvl w:ilvl="0">
      <w:lvlJc w:val="left"/>
      <w:lvlText w:val="•"/>
      <w:numFmt w:val="bullet"/>
      <w:start w:val="1"/>
    </w:lvl>
  </w:abstractNum>
  <w:abstractNum w:abstractNumId="85">
    <w:nsid w:val="4BD8591A"/>
    <w:multiLevelType w:val="hybridMultilevel"/>
    <w:lvl w:ilvl="0">
      <w:lvlJc w:val="left"/>
      <w:lvlText w:val="•"/>
      <w:numFmt w:val="bullet"/>
      <w:start w:val="1"/>
    </w:lvl>
  </w:abstractNum>
  <w:abstractNum w:abstractNumId="86">
    <w:nsid w:val="78DF6A55"/>
    <w:multiLevelType w:val="hybridMultilevel"/>
    <w:lvl w:ilvl="0">
      <w:lvlJc w:val="left"/>
      <w:lvlText w:val="•"/>
      <w:numFmt w:val="bullet"/>
      <w:start w:val="1"/>
    </w:lvl>
  </w:abstractNum>
  <w:abstractNum w:abstractNumId="87">
    <w:nsid w:val="39B7AAA2"/>
    <w:multiLevelType w:val="hybridMultilevel"/>
    <w:lvl w:ilvl="0">
      <w:lvlJc w:val="left"/>
      <w:lvlText w:val="•"/>
      <w:numFmt w:val="bullet"/>
      <w:start w:val="1"/>
    </w:lvl>
  </w:abstractNum>
  <w:abstractNum w:abstractNumId="88">
    <w:nsid w:val="2B0D8DBE"/>
    <w:multiLevelType w:val="hybridMultilevel"/>
    <w:lvl w:ilvl="0">
      <w:lvlJc w:val="left"/>
      <w:lvlText w:val="•"/>
      <w:numFmt w:val="bullet"/>
      <w:start w:val="1"/>
    </w:lvl>
  </w:abstractNum>
  <w:abstractNum w:abstractNumId="89">
    <w:nsid w:val="6C80EC70"/>
    <w:multiLevelType w:val="hybridMultilevel"/>
    <w:lvl w:ilvl="0">
      <w:lvlJc w:val="left"/>
      <w:lvlText w:val="•"/>
      <w:numFmt w:val="bullet"/>
      <w:start w:val="1"/>
    </w:lvl>
  </w:abstractNum>
  <w:abstractNum w:abstractNumId="90">
    <w:nsid w:val="379E21B5"/>
    <w:multiLevelType w:val="hybridMultilevel"/>
    <w:lvl w:ilvl="0">
      <w:lvlJc w:val="left"/>
      <w:lvlText w:val="•"/>
      <w:numFmt w:val="bullet"/>
      <w:start w:val="1"/>
    </w:lvl>
  </w:abstractNum>
  <w:abstractNum w:abstractNumId="91">
    <w:nsid w:val="69E373"/>
    <w:multiLevelType w:val="hybridMultilevel"/>
    <w:lvl w:ilvl="0">
      <w:lvlJc w:val="left"/>
      <w:lvlText w:val="•"/>
      <w:numFmt w:val="bullet"/>
      <w:start w:val="1"/>
    </w:lvl>
  </w:abstractNum>
  <w:abstractNum w:abstractNumId="92">
    <w:nsid w:val="2C27173B"/>
    <w:multiLevelType w:val="hybridMultilevel"/>
    <w:lvl w:ilvl="0">
      <w:lvlJc w:val="left"/>
      <w:lvlText w:val="•"/>
      <w:numFmt w:val="bullet"/>
      <w:start w:val="1"/>
    </w:lvl>
  </w:abstractNum>
  <w:abstractNum w:abstractNumId="93">
    <w:nsid w:val="4C9B0904"/>
    <w:multiLevelType w:val="hybridMultilevel"/>
    <w:lvl w:ilvl="0">
      <w:lvlJc w:val="left"/>
      <w:lvlText w:val="•"/>
      <w:numFmt w:val="bullet"/>
      <w:start w:val="1"/>
    </w:lvl>
  </w:abstractNum>
  <w:abstractNum w:abstractNumId="94">
    <w:nsid w:val="6AA7B75C"/>
    <w:multiLevelType w:val="hybridMultilevel"/>
    <w:lvl w:ilvl="0">
      <w:lvlJc w:val="left"/>
      <w:lvlText w:val="•"/>
      <w:numFmt w:val="bullet"/>
      <w:start w:val="1"/>
    </w:lvl>
  </w:abstractNum>
  <w:abstractNum w:abstractNumId="95">
    <w:nsid w:val="1DF029D3"/>
    <w:multiLevelType w:val="hybridMultilevel"/>
    <w:lvl w:ilvl="0">
      <w:lvlJc w:val="left"/>
      <w:lvlText w:val="(%1)"/>
      <w:numFmt w:val="decimal"/>
      <w:start w:val="1"/>
    </w:lvl>
  </w:abstractNum>
  <w:abstractNum w:abstractNumId="96">
    <w:nsid w:val="5675FF36"/>
    <w:multiLevelType w:val="hybridMultilevel"/>
    <w:lvl w:ilvl="0">
      <w:lvlJc w:val="left"/>
      <w:lvlText w:val="(%1)"/>
      <w:numFmt w:val="decimal"/>
      <w:start w:val="1"/>
    </w:lvl>
  </w:abstractNum>
  <w:abstractNum w:abstractNumId="97">
    <w:nsid w:val="3DD15094"/>
    <w:multiLevelType w:val="hybridMultilevel"/>
    <w:lvl w:ilvl="0">
      <w:lvlJc w:val="left"/>
      <w:lvlText w:val="(%1)"/>
      <w:numFmt w:val="lowerRoman"/>
      <w:start w:val="2"/>
    </w:lvl>
  </w:abstractNum>
  <w:abstractNum w:abstractNumId="98">
    <w:nsid w:val="3DB012B3"/>
    <w:multiLevelType w:val="hybridMultilevel"/>
    <w:lvl w:ilvl="0">
      <w:lvlJc w:val="left"/>
      <w:lvlText w:val="(%1)"/>
      <w:numFmt w:val="lowerRoman"/>
      <w:start w:val="2"/>
    </w:lvl>
  </w:abstractNum>
  <w:abstractNum w:abstractNumId="99">
    <w:nsid w:val="2708C9AF"/>
    <w:multiLevelType w:val="hybridMultilevel"/>
    <w:lvl w:ilvl="0">
      <w:lvlJc w:val="left"/>
      <w:lvlText w:val="(%1)"/>
      <w:numFmt w:val="decimal"/>
      <w:start w:val="1"/>
    </w:lvl>
  </w:abstractNum>
  <w:abstractNum w:abstractNumId="100">
    <w:nsid w:val="5B25ACE2"/>
    <w:multiLevelType w:val="hybridMultilevel"/>
    <w:lvl w:ilvl="0">
      <w:lvlJc w:val="left"/>
      <w:lvlText w:val="•"/>
      <w:numFmt w:val="bullet"/>
      <w:start w:val="1"/>
    </w:lvl>
  </w:abstractNum>
  <w:abstractNum w:abstractNumId="101">
    <w:nsid w:val="175DFCF0"/>
    <w:multiLevelType w:val="hybridMultilevel"/>
    <w:lvl w:ilvl="0">
      <w:lvlJc w:val="left"/>
      <w:lvlText w:val="(%1)"/>
      <w:numFmt w:val="decimal"/>
      <w:start w:val="1"/>
    </w:lvl>
  </w:abstractNum>
  <w:abstractNum w:abstractNumId="102">
    <w:nsid w:val="4F97E3E4"/>
    <w:multiLevelType w:val="hybridMultilevel"/>
    <w:lvl w:ilvl="0">
      <w:lvlJc w:val="left"/>
      <w:lvlText w:val="(%1)"/>
      <w:numFmt w:val="decimal"/>
      <w:start w:val="1"/>
    </w:lvl>
  </w:abstractNum>
  <w:abstractNum w:abstractNumId="103">
    <w:nsid w:val="53B0A9E"/>
    <w:multiLevelType w:val="hybridMultilevel"/>
    <w:lvl w:ilvl="0">
      <w:lvlJc w:val="left"/>
      <w:lvlText w:val="(%1)"/>
      <w:numFmt w:val="lowerRoman"/>
      <w:start w:val="2"/>
    </w:lvl>
  </w:abstractNum>
  <w:abstractNum w:abstractNumId="104">
    <w:nsid w:val="34FD6B4F"/>
    <w:multiLevelType w:val="hybridMultilevel"/>
    <w:lvl w:ilvl="0">
      <w:lvlJc w:val="left"/>
      <w:lvlText w:val="•"/>
      <w:numFmt w:val="bullet"/>
      <w:start w:val="1"/>
    </w:lvl>
  </w:abstractNum>
  <w:abstractNum w:abstractNumId="105">
    <w:nsid w:val="5915FF32"/>
    <w:multiLevelType w:val="hybridMultilevel"/>
    <w:lvl w:ilvl="0">
      <w:lvlJc w:val="left"/>
      <w:lvlText w:val="*"/>
      <w:numFmt w:val="bullet"/>
      <w:start w:val="1"/>
    </w:lvl>
  </w:abstractNum>
  <w:abstractNum w:abstractNumId="106">
    <w:nsid w:val="56438D15"/>
    <w:multiLevelType w:val="hybridMultilevel"/>
    <w:lvl w:ilvl="0">
      <w:lvlJc w:val="left"/>
      <w:lvlText w:val="(%1)"/>
      <w:numFmt w:val="lowerLetter"/>
      <w:start w:val="3"/>
    </w:lvl>
  </w:abstractNum>
  <w:abstractNum w:abstractNumId="107">
    <w:nsid w:val="519E3149"/>
    <w:multiLevelType w:val="hybridMultilevel"/>
    <w:lvl w:ilvl="0">
      <w:lvlJc w:val="left"/>
      <w:lvlText w:val="•"/>
      <w:numFmt w:val="bullet"/>
      <w:start w:val="1"/>
    </w:lvl>
  </w:abstractNum>
  <w:abstractNum w:abstractNumId="108">
    <w:nsid w:val="2C6E4AFD"/>
    <w:multiLevelType w:val="hybridMultilevel"/>
    <w:lvl w:ilvl="0">
      <w:lvlJc w:val="left"/>
      <w:lvlText w:val="•"/>
      <w:numFmt w:val="bullet"/>
      <w:start w:val="1"/>
    </w:lvl>
  </w:abstractNum>
  <w:abstractNum w:abstractNumId="109">
    <w:nsid w:val="17A1B582"/>
    <w:multiLevelType w:val="hybridMultilevel"/>
    <w:lvl w:ilvl="0">
      <w:lvlJc w:val="left"/>
      <w:lvlText w:val="(%1)"/>
      <w:numFmt w:val="decimal"/>
      <w:start w:val="2"/>
    </w:lvl>
  </w:abstractNum>
  <w:abstractNum w:abstractNumId="110">
    <w:nsid w:val="4DF72E4E"/>
    <w:multiLevelType w:val="hybridMultilevel"/>
    <w:lvl w:ilvl="0">
      <w:lvlJc w:val="left"/>
      <w:lvlText w:val="(%1)"/>
      <w:numFmt w:val="lowerRoman"/>
      <w:start w:val="2"/>
    </w:lvl>
  </w:abstractNum>
  <w:abstractNum w:abstractNumId="111">
    <w:nsid w:val="5046B5A9"/>
    <w:multiLevelType w:val="hybridMultilevel"/>
    <w:lvl w:ilvl="0">
      <w:lvlJc w:val="left"/>
      <w:lvlText w:val="•"/>
      <w:numFmt w:val="bullet"/>
      <w:start w:val="1"/>
    </w:lvl>
  </w:abstractNum>
  <w:abstractNum w:abstractNumId="112">
    <w:nsid w:val="5D888A08"/>
    <w:multiLevelType w:val="hybridMultilevel"/>
    <w:lvl w:ilvl="0">
      <w:lvlJc w:val="left"/>
      <w:lvlText w:val="•"/>
      <w:numFmt w:val="bullet"/>
      <w:start w:val="1"/>
    </w:lvl>
  </w:abstractNum>
  <w:abstractNum w:abstractNumId="113">
    <w:nsid w:val="2A082C70"/>
    <w:multiLevelType w:val="hybridMultilevel"/>
    <w:lvl w:ilvl="0">
      <w:lvlJc w:val="left"/>
      <w:lvlText w:val="•"/>
      <w:numFmt w:val="bullet"/>
      <w:start w:val="1"/>
    </w:lvl>
  </w:abstractNum>
  <w:abstractNum w:abstractNumId="114">
    <w:nsid w:val="5EC6AFD4"/>
    <w:multiLevelType w:val="hybridMultilevel"/>
    <w:lvl w:ilvl="0">
      <w:lvlJc w:val="left"/>
      <w:lvlText w:val="•"/>
      <w:numFmt w:val="bullet"/>
      <w:start w:val="1"/>
    </w:lvl>
  </w:abstractNum>
  <w:abstractNum w:abstractNumId="115">
    <w:nsid w:val="19E21BB2"/>
    <w:multiLevelType w:val="hybridMultilevel"/>
    <w:lvl w:ilvl="0">
      <w:lvlJc w:val="left"/>
      <w:lvlText w:val="•"/>
      <w:numFmt w:val="bullet"/>
      <w:start w:val="1"/>
    </w:lvl>
  </w:abstractNum>
  <w:abstractNum w:abstractNumId="116">
    <w:nsid w:val="75E0858A"/>
    <w:multiLevelType w:val="hybridMultilevel"/>
    <w:lvl w:ilvl="0">
      <w:lvlJc w:val="left"/>
      <w:lvlText w:val="(%1)"/>
      <w:numFmt w:val="lowerRoman"/>
      <w:start w:val="3"/>
    </w:lvl>
  </w:abstractNum>
  <w:abstractNum w:abstractNumId="117">
    <w:nsid w:val="57A61A29"/>
    <w:multiLevelType w:val="hybridMultilevel"/>
    <w:lvl w:ilvl="0">
      <w:lvlJc w:val="left"/>
      <w:lvlText w:val="(%1)"/>
      <w:numFmt w:val="lowerRoman"/>
      <w:start w:val="9"/>
    </w:lvl>
  </w:abstractNum>
  <w:abstractNum w:abstractNumId="118">
    <w:nsid w:val="5399C654"/>
    <w:multiLevelType w:val="hybridMultilevel"/>
    <w:lvl w:ilvl="0">
      <w:lvlJc w:val="left"/>
      <w:lvlText w:val="•"/>
      <w:numFmt w:val="bullet"/>
      <w:start w:val="1"/>
    </w:lvl>
  </w:abstractNum>
  <w:abstractNum w:abstractNumId="119">
    <w:nsid w:val="20EE1348"/>
    <w:multiLevelType w:val="hybridMultilevel"/>
    <w:lvl w:ilvl="0">
      <w:lvlJc w:val="left"/>
      <w:lvlText w:val="%1)"/>
      <w:numFmt w:val="lowerLetter"/>
      <w:start w:val="1"/>
    </w:lvl>
  </w:abstractNum>
  <w:abstractNum w:abstractNumId="120">
    <w:nsid w:val="4427069A"/>
    <w:multiLevelType w:val="hybridMultilevel"/>
    <w:lvl w:ilvl="0">
      <w:lvlJc w:val="left"/>
      <w:lvlText w:val="%1)"/>
      <w:numFmt w:val="lowerLetter"/>
      <w:start w:val="2"/>
    </w:lvl>
  </w:abstractNum>
  <w:abstractNum w:abstractNumId="121">
    <w:nsid w:val="B37E80A"/>
    <w:multiLevelType w:val="hybridMultilevel"/>
    <w:lvl w:ilvl="0">
      <w:lvlJc w:val="left"/>
      <w:lvlText w:val="(%1)"/>
      <w:numFmt w:val="lowerLetter"/>
      <w:start w:val="1"/>
    </w:lvl>
  </w:abstractNum>
  <w:abstractNum w:abstractNumId="122">
    <w:nsid w:val="2157F6BC"/>
    <w:multiLevelType w:val="hybridMultilevel"/>
    <w:lvl w:ilvl="0">
      <w:lvlJc w:val="left"/>
      <w:lvlText w:val="(%1)"/>
      <w:numFmt w:val="lowerLetter"/>
      <w:start w:val="1"/>
    </w:lvl>
  </w:abstractNum>
  <w:abstractNum w:abstractNumId="123">
    <w:nsid w:val="704E1DD5"/>
    <w:multiLevelType w:val="hybridMultilevel"/>
    <w:lvl w:ilvl="0">
      <w:lvlJc w:val="left"/>
      <w:lvlText w:val="(%1)"/>
      <w:numFmt w:val="lowerLetter"/>
      <w:start w:val="3"/>
    </w:lvl>
  </w:abstractNum>
  <w:abstractNum w:abstractNumId="124">
    <w:nsid w:val="57D2F10E"/>
    <w:multiLevelType w:val="hybridMultilevel"/>
    <w:lvl w:ilvl="0">
      <w:lvlJc w:val="left"/>
      <w:lvlText w:val="(%1)"/>
      <w:numFmt w:val="lowerLetter"/>
      <w:start w:val="1"/>
    </w:lvl>
    <w:lvl w:ilvl="1">
      <w:lvlJc w:val="left"/>
      <w:lvlText w:val="(%2)"/>
      <w:numFmt w:val="lowerRoman"/>
      <w:start w:val="1"/>
    </w:lvl>
  </w:abstractNum>
  <w:abstractNum w:abstractNumId="125">
    <w:nsid w:val="BFFAE18"/>
    <w:multiLevelType w:val="hybridMultilevel"/>
    <w:lvl w:ilvl="0">
      <w:lvlJc w:val="left"/>
      <w:lvlText w:val="(%1)"/>
      <w:numFmt w:val="lowerLetter"/>
      <w:start w:val="1"/>
    </w:lvl>
  </w:abstractNum>
  <w:abstractNum w:abstractNumId="126">
    <w:nsid w:val="E3E47A8"/>
    <w:multiLevelType w:val="hybridMultilevel"/>
    <w:lvl w:ilvl="0">
      <w:lvlJc w:val="left"/>
      <w:lvlText w:val="(%1)"/>
      <w:numFmt w:val="lowerRoman"/>
      <w:start w:val="1"/>
    </w:lvl>
  </w:abstractNum>
  <w:abstractNum w:abstractNumId="127">
    <w:nsid w:val="2E48F044"/>
    <w:multiLevelType w:val="hybridMultilevel"/>
    <w:lvl w:ilvl="0">
      <w:lvlJc w:val="left"/>
      <w:lvlText w:val="\emdash "/>
      <w:numFmt w:val="bullet"/>
      <w:start w:val="1"/>
    </w:lvl>
  </w:abstractNum>
  <w:abstractNum w:abstractNumId="128">
    <w:nsid w:val="49D0FEAC"/>
    <w:multiLevelType w:val="hybridMultilevel"/>
    <w:lvl w:ilvl="0">
      <w:lvlJc w:val="left"/>
      <w:lvlText w:val="%1"/>
      <w:numFmt w:val="decimal"/>
      <w:start w:val="687"/>
    </w:lvl>
  </w:abstractNum>
  <w:abstractNum w:abstractNumId="129">
    <w:nsid w:val="4BEE5A5B"/>
    <w:multiLevelType w:val="hybridMultilevel"/>
    <w:lvl w:ilvl="0">
      <w:lvlJc w:val="left"/>
      <w:lvlText w:val="\emdash "/>
      <w:numFmt w:val="bullet"/>
      <w:start w:val="1"/>
    </w:lvl>
  </w:abstractNum>
  <w:abstractNum w:abstractNumId="130">
    <w:nsid w:val="5551B9F3"/>
    <w:multiLevelType w:val="hybridMultilevel"/>
    <w:lvl w:ilvl="0">
      <w:lvlJc w:val="left"/>
      <w:lvlText w:val="%1"/>
      <w:numFmt w:val="decimal"/>
      <w:start w:val="547"/>
    </w:lvl>
    <w:lvl w:ilvl="1">
      <w:lvlJc w:val="left"/>
      <w:lvlText w:val="(%2)"/>
      <w:numFmt w:val="decimal"/>
      <w:start w:val="21"/>
    </w:lvl>
  </w:abstractNum>
  <w:abstractNum w:abstractNumId="131">
    <w:nsid w:val="24F6AB8E"/>
    <w:multiLevelType w:val="hybridMultilevel"/>
    <w:lvl w:ilvl="0">
      <w:lvlJc w:val="left"/>
      <w:lvlText w:val="(%1)"/>
      <w:numFmt w:val="lowerRoman"/>
      <w:start w:val="2"/>
    </w:lvl>
  </w:abstractNum>
  <w:abstractNum w:abstractNumId="132">
    <w:nsid w:val="634C574C"/>
    <w:multiLevelType w:val="hybridMultilevel"/>
    <w:lvl w:ilvl="0">
      <w:lvlJc w:val="left"/>
      <w:lvlText w:val="%1."/>
      <w:numFmt w:val="decimal"/>
      <w:start w:val="606"/>
    </w:lvl>
  </w:abstractNum>
  <w:abstractNum w:abstractNumId="133">
    <w:nsid w:val="24E99DD7"/>
    <w:multiLevelType w:val="hybridMultilevel"/>
    <w:lvl w:ilvl="0">
      <w:lvlJc w:val="left"/>
      <w:lvlText w:val="%1"/>
      <w:numFmt w:val="decimal"/>
      <w:start w:val="250"/>
    </w:lvl>
  </w:abstractNum>
  <w:abstractNum w:abstractNumId="134">
    <w:nsid w:val="2A31B62D"/>
    <w:multiLevelType w:val="hybridMultilevel"/>
    <w:lvl w:ilvl="0">
      <w:lvlJc w:val="left"/>
      <w:lvlText w:val="$"/>
      <w:numFmt w:val="bullet"/>
      <w:start w:val="1"/>
    </w:lvl>
  </w:abstractNum>
  <w:abstractNum w:abstractNumId="135">
    <w:nsid w:val="1849C29B"/>
    <w:multiLevelType w:val="hybridMultilevel"/>
    <w:lvl w:ilvl="0">
      <w:lvlJc w:val="left"/>
      <w:lvlText w:val="(%1)"/>
      <w:numFmt w:val="decimal"/>
      <w:start w:val="2"/>
    </w:lvl>
  </w:abstractNum>
  <w:abstractNum w:abstractNumId="136">
    <w:nsid w:val="7DFF9D09"/>
    <w:multiLevelType w:val="hybridMultilevel"/>
    <w:lvl w:ilvl="0">
      <w:lvlJc w:val="left"/>
      <w:lvlText w:val="(%1)"/>
      <w:numFmt w:val="decimal"/>
      <w:start w:val="1"/>
    </w:lvl>
  </w:abstractNum>
  <w:abstractNum w:abstractNumId="137">
    <w:nsid w:val="754342"/>
    <w:multiLevelType w:val="hybridMultilevel"/>
    <w:lvl w:ilvl="0">
      <w:lvlJc w:val="left"/>
      <w:lvlText w:val="*"/>
      <w:numFmt w:val="bullet"/>
      <w:start w:val="1"/>
    </w:lvl>
  </w:abstractNum>
  <w:abstractNum w:abstractNumId="138">
    <w:nsid w:val="69E7F3E5"/>
    <w:multiLevelType w:val="hybridMultilevel"/>
    <w:lvl w:ilvl="0">
      <w:lvlJc w:val="left"/>
      <w:lvlText w:val="•"/>
      <w:numFmt w:val="bullet"/>
      <w:start w:val="1"/>
    </w:lvl>
  </w:abstractNum>
  <w:abstractNum w:abstractNumId="139">
    <w:nsid w:val="2A6DE806"/>
    <w:multiLevelType w:val="hybridMultilevel"/>
    <w:lvl w:ilvl="0">
      <w:lvlJc w:val="left"/>
      <w:lvlText w:val="•"/>
      <w:numFmt w:val="bullet"/>
      <w:start w:val="1"/>
    </w:lvl>
  </w:abstractNum>
  <w:abstractNum w:abstractNumId="140">
    <w:nsid w:val="1816F8C4"/>
    <w:multiLevelType w:val="hybridMultilevel"/>
    <w:lvl w:ilvl="0">
      <w:lvlJc w:val="left"/>
      <w:lvlText w:val="(%1)"/>
      <w:numFmt w:val="lowerLetter"/>
      <w:start w:val="1"/>
    </w:lvl>
  </w:abstractNum>
  <w:abstractNum w:abstractNumId="141">
    <w:nsid w:val="37DF2233"/>
    <w:multiLevelType w:val="hybridMultilevel"/>
    <w:lvl w:ilvl="0">
      <w:lvlJc w:val="left"/>
      <w:lvlText w:val="*"/>
      <w:numFmt w:val="bullet"/>
      <w:start w:val="1"/>
    </w:lvl>
  </w:abstractNum>
  <w:abstractNum w:abstractNumId="142">
    <w:nsid w:val="7AB49DAF"/>
    <w:multiLevelType w:val="hybridMultilevel"/>
    <w:lvl w:ilvl="0">
      <w:lvlJc w:val="left"/>
      <w:lvlText w:val="†"/>
      <w:numFmt w:val="bullet"/>
      <w:start w:val="1"/>
    </w:lvl>
    <w:lvl w:ilvl="1">
      <w:lvlJc w:val="left"/>
      <w:lvlText w:val="(%2)"/>
      <w:numFmt w:val="lowerLetter"/>
      <w:start w:val="2"/>
    </w:lvl>
  </w:abstractNum>
  <w:abstractNum w:abstractNumId="143">
    <w:nsid w:val="759F82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2024-01-06T05:24:03Z</dcterms:created>
  <dcterms:modified xsi:type="dcterms:W3CDTF">2024-01-06T05:24:03Z</dcterms:modified>
</cp:coreProperties>
</file>