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mgx-20260331.htm"/>
      <w:bookmarkStart w:id="1" w:name="ksmgx20260331"/>
      <w:bookmarkEnd w:id="0"/>
      <w:bookmarkEnd w:id="1"/>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40" w:after="100"/>
        <w:jc w:val="center"/>
        <w:rPr/>
      </w:pPr>
      <w:r>
        <w:rPr/>
        <w:t> </w:t>
      </w:r>
    </w:p>
    <w:p>
      <w:pPr>
        <w:pStyle w:val="TextBody"/>
        <w:bidi w:val="0"/>
        <w:spacing w:before="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10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0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00" w:after="283"/>
        <w:jc w:val="center"/>
        <w:rPr>
          <w:rFonts w:ascii="Times New Roman" w:hAnsi="Times New Roman"/>
          <w:b/>
          <w:color w:val="000000"/>
          <w:sz w:val="20"/>
        </w:rPr>
      </w:pPr>
      <w:r>
        <w:rPr>
          <w:rFonts w:ascii="Times New Roman" w:hAnsi="Times New Roman"/>
          <w:b/>
          <w:color w:val="000000"/>
          <w:sz w:val="20"/>
        </w:rPr>
        <w:t>Commission File Number: 001-41949</w:t>
      </w:r>
    </w:p>
    <w:p>
      <w:pPr>
        <w:pStyle w:val="TextBody"/>
        <w:pBdr>
          <w:bottom w:val="single" w:sz="4" w:space="1" w:color="000000"/>
        </w:pBdr>
        <w:bidi w:val="0"/>
        <w:spacing w:before="40" w:after="100"/>
        <w:jc w:val="center"/>
        <w:rPr/>
      </w:pPr>
      <w:r>
        <w:rPr/>
        <w:t> </w:t>
      </w:r>
    </w:p>
    <w:p>
      <w:pPr>
        <w:pStyle w:val="TextBody"/>
        <w:bidi w:val="0"/>
        <w:jc w:val="center"/>
        <w:rPr>
          <w:rFonts w:ascii="Times New Roman" w:hAnsi="Times New Roman"/>
          <w:b/>
          <w:color w:val="000000"/>
          <w:sz w:val="40"/>
        </w:rPr>
      </w:pPr>
      <w:r>
        <w:rPr>
          <w:rFonts w:ascii="Times New Roman" w:hAnsi="Times New Roman"/>
          <w:b/>
          <w:color w:val="000000"/>
          <w:sz w:val="40"/>
        </w:rPr>
        <w:t>Metagenomi Therapeutics,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40" w:after="283"/>
        <w:jc w:val="center"/>
        <w:rPr/>
      </w:pPr>
      <w:r>
        <w:rPr/>
        <w:t> </w:t>
      </w:r>
    </w:p>
    <w:p>
      <w:pPr>
        <w:pStyle w:val="TextBody"/>
        <w:bidi w:val="0"/>
        <w:jc w:val="left"/>
        <w:rPr/>
      </w:pPr>
      <w:r>
        <w:rPr/>
        <w:t> </w:t>
      </w:r>
    </w:p>
    <w:tbl>
      <w:tblPr>
        <w:tblW w:w="3872" w:type="dxa"/>
        <w:jc w:val="left"/>
        <w:tblInd w:w="0" w:type="dxa"/>
        <w:tblLayout w:type="fixed"/>
        <w:tblCellMar>
          <w:top w:w="28" w:type="dxa"/>
          <w:left w:w="28" w:type="dxa"/>
          <w:bottom w:w="28" w:type="dxa"/>
          <w:right w:w="28" w:type="dxa"/>
        </w:tblCellMar>
      </w:tblPr>
      <w:tblGrid>
        <w:gridCol w:w="2626"/>
        <w:gridCol w:w="1246"/>
      </w:tblGrid>
      <w:tr>
        <w:trPr/>
        <w:tc>
          <w:tcPr>
            <w:tcW w:w="26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81-3909017</w:t>
            </w:r>
          </w:p>
        </w:tc>
      </w:tr>
      <w:tr>
        <w:trPr/>
        <w:tc>
          <w:tcPr>
            <w:tcW w:w="26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6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5959 Horton Street, 7th Floor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Emeryville, California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94608</w:t>
            </w:r>
          </w:p>
        </w:tc>
      </w:tr>
      <w:tr>
        <w:trPr/>
        <w:tc>
          <w:tcPr>
            <w:tcW w:w="26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(510) 871-4880</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pBdr>
          <w:bottom w:val="single" w:sz="4" w:space="1" w:color="000000"/>
        </w:pBdr>
        <w:bidi w:val="0"/>
        <w:spacing w:before="40" w:after="283"/>
        <w:jc w:val="center"/>
        <w:rPr/>
      </w:pPr>
      <w:r>
        <w:rPr/>
        <w:t> </w:t>
      </w:r>
    </w:p>
    <w:p>
      <w:pPr>
        <w:pStyle w:val="TextBody"/>
        <w:bidi w:val="0"/>
        <w:spacing w:before="6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90" w:type="dxa"/>
        <w:jc w:val="left"/>
        <w:tblInd w:w="0" w:type="dxa"/>
        <w:tblLayout w:type="fixed"/>
        <w:tblCellMar>
          <w:top w:w="28" w:type="dxa"/>
          <w:left w:w="28" w:type="dxa"/>
          <w:bottom w:w="28" w:type="dxa"/>
          <w:right w:w="28" w:type="dxa"/>
        </w:tblCellMar>
      </w:tblPr>
      <w:tblGrid>
        <w:gridCol w:w="3256"/>
        <w:gridCol w:w="146"/>
        <w:gridCol w:w="826"/>
        <w:gridCol w:w="146"/>
        <w:gridCol w:w="3316"/>
      </w:tblGrid>
      <w:tr>
        <w:trPr/>
        <w:tc>
          <w:tcPr>
            <w:tcW w:w="3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MGX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22" w:type="dxa"/>
        <w:jc w:val="left"/>
        <w:tblInd w:w="0" w:type="dxa"/>
        <w:tblLayout w:type="fixed"/>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Emerging growth company</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8"/>
        </w:rPr>
        <w:t>As of May 5, 2026, the registrant had 37,646,858</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63" w:type="dxa"/>
        <w:jc w:val="left"/>
        <w:tblInd w:w="0" w:type="dxa"/>
        <w:tblLayout w:type="fixed"/>
        <w:tblCellMar>
          <w:top w:w="28" w:type="dxa"/>
          <w:left w:w="28" w:type="dxa"/>
          <w:bottom w:w="28" w:type="dxa"/>
          <w:right w:w="28" w:type="dxa"/>
        </w:tblCellMar>
      </w:tblPr>
      <w:tblGrid>
        <w:gridCol w:w="886"/>
        <w:gridCol w:w="7366"/>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Condensed Balance Sheets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Condensed Statements of Operations and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equity">
              <w:r>
                <w:rPr>
                  <w:rStyle w:val="InternetLink"/>
                  <w:rFonts w:ascii="Times New Roman" w:hAnsi="Times New Roman"/>
                  <w:color w:val="0000FF"/>
                  <w:sz w:val="20"/>
                  <w:u w:val="single"/>
                </w:rPr>
                <w:t>Condensed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_of_cash_flows">
              <w:r>
                <w:rPr>
                  <w:rStyle w:val="InternetLink"/>
                  <w:rFonts w:ascii="Times New Roman" w:hAnsi="Times New Roman"/>
                  <w:color w:val="0000FF"/>
                  <w:sz w:val="20"/>
                  <w:u w:val="single"/>
                </w:rPr>
                <w:t>Condensed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and_qualitative">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bl>
    <w:p>
      <w:pPr>
        <w:pStyle w:val="TextBody"/>
        <w:bidi w:val="0"/>
        <w:jc w:val="left"/>
        <w:rPr/>
      </w:pPr>
      <w:r>
        <w:rPr/>
        <w:t>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express or implied forward-looking statements that are based on our management’s belief and assumptions and on information currently available to our management and which are made pursuant to the safe harbor provisions of Section 27A of the Securities Act of 1933, as amended (the “Securities Act”), and Section 21E of the Securities Exchange Act of 1934, as amended (the “Exchange Act”).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Quarterly Report on Form 10-Q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timing, progress and results of our research and development programs, preclinical studies and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our ability to demonstrate, and the timing of, preclinical proof-of-concept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and </w:t>
      </w:r>
      <w:r>
        <w:rPr>
          <w:rFonts w:ascii="Times New Roman" w:hAnsi="Times New Roman"/>
          <w:i/>
          <w:color w:val="000000"/>
          <w:sz w:val="20"/>
        </w:rPr>
        <w:t>ex vivo</w:t>
      </w:r>
      <w:r>
        <w:rPr>
          <w:color w:val="000000"/>
        </w:rPr>
        <w:t xml:space="preserve"> </w:t>
      </w:r>
      <w:r>
        <w:rPr>
          <w:rFonts w:ascii="Times New Roman" w:hAnsi="Times New Roman"/>
          <w:color w:val="000000"/>
          <w:sz w:val="20"/>
        </w:rPr>
        <w:t>for multiple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advance any product candidates that we may identify and successfully complete any clinical studies, including the manufacture of any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quickly leverage programs within our initial target indications and to progress additional programs to further develop our pipeline;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our Investigational New Drug (“IND”) applications submissions;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implementation of our strategic plans for our business, programs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genome editing technology and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related to our competitors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leverage the clinical, regulatory, and manufacturing advancements made by genome editing programs to accelerate our clinical trials and approval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license agreements and collaborations and identify and enter into future license agreements and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related to our genome editing technology and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attract and retain key scientific and management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volatility of capital markets and other adverse macroeconomic factors, including due to inflationary pressures, tariffs, and other trade protection measures that have been or may in the future be imposed by the United States (the “U.S.”) or other countries, interest rate and currency rate fluctuations, economic slowdown or recession, banking instability, monetary policy changes, geopolitical tensions or the outbreak of hostilities or war, including from the ongoing Russia-Ukraine conflict, the current conflicts in Iran and the Middle East (including any escalation or expansion), the current conflict in Venezuela and increasing tensions between China and Taiwan;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of our expenses, capital requirements, and needs for additional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some cases, you can identify forward-looking statements by terminology such as “may,” “will,” “should,” “expects,” “intends,” “plans,” “anticipates,” “believes,” “estimates,” “predicts,” “potential,” “continue” or the negative of these terms or other comparable terminology. These statements are only predictions and are subject to change. You should not place undue reliance on forward-looking statements because they involve known and unknown risks, uncertainties, and other factors, which are, in some cases, beyond our control and which could materially affect results. Moreover, we operate in an evolving environment. New risk factors and uncertainties may emerge from time to time, and it is not possible for management to predict all risk factors and uncertainties.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Factors that may cause actual results to differ materially from current expectations include, among other things, those listed under the section entitled “Risk Factors” and elsewhere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this Quarterly Report on Form 10-Q and have filed with the SEC as exhibits to this Quarterly Report on Form 10-Q completely and with the understanding that our actual future results may be materially different from any future results expressed or implied by these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also contains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entitled “Risk Factors” and elsewhere in this Quarterly Report on Form 10-Q.</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use our website to distribute material information about us and for complying with our disclosure obligations under Regulation FD. Our financial and other material information is routinely posted to and accessible on the Investor Relations section of our website, available at https://ir.metagenomi.co/. Investors are encouraged to review the Investor Relations section of our website because we may post material information on that site that is not otherwise disseminated by us. Information that is contained in and can be accessed through our website are not incorporated into, and does not form a part of, this Quarterly Report on Form 10-Q.</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Trademarks and Service Marks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Quarterly Report on Form 10-Q contains references to our trademarks and service marks and to those belonging to other entities. Solely for convenience, trademarks and trade names referred to in this Quarterly Report on Form 10-Q,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Market, Industry and Other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Unless otherwise indicated, information contained in this Quarterly Report on Form 10-Q concerning our industry and the markets in which we operate, including our general expectations about our product candidates, market position, market opportunity, market size, competitive position and the incidence of certain medical conditions, is based on or derived from publicly available information released by industry analysts and third-party sources, independent market research, industry and general publications and surveys, governmental agencies, our internal research and our industry experience. Our estimates of the potential market opportunities for our product candidates include a number of key assumptions based on our industry knowledge and industry publications, the latter of which may be based on small sample sizes and fail to accurately reflect such information, and you are cautioned not to give undue weight to such estimates. While we believe that our internal assumptions are reasonable, no independent source has verified such assumptions. Industry publications and third-party research often indicate that their information has been obtained from sources believed to be reliable, although they do not guarantee the accuracy or completeness of such information and such information is inherently imprecise.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projections, assumptions and estimates of our future performance and the future performance of the industry in which we operate is necessarily subject to a high degree of uncertainty and risk due to a variety of factors, including those described in Part II, Item 1A of this Quarterly Report on Form 10-Q titled “Risk Factors” and elsewhere in this Quarterly Report on Form 10-Q. These and other factors could cause results to differ materially from those expressed in the estimates made by independent third parties and by us.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Metagenomi Therapeutics, Inc.</w:t>
      </w:r>
    </w:p>
    <w:p>
      <w:pPr>
        <w:pStyle w:val="TextBody"/>
        <w:bidi w:val="0"/>
        <w:jc w:val="center"/>
        <w:rPr>
          <w:rFonts w:ascii="Times New Roman" w:hAnsi="Times New Roman"/>
          <w:b/>
          <w:color w:val="000000"/>
          <w:sz w:val="20"/>
        </w:rPr>
      </w:pPr>
      <w:bookmarkStart w:id="4" w:name="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In thousands, except share and per share data</w:t>
      </w:r>
      <w:r>
        <w:rPr>
          <w:rFonts w:ascii="Times New Roman" w:hAnsi="Times New Roman"/>
          <w:b/>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15"/>
        <w:gridCol w:w="146"/>
        <w:gridCol w:w="211"/>
        <w:gridCol w:w="841"/>
        <w:gridCol w:w="166"/>
        <w:gridCol w:w="146"/>
        <w:gridCol w:w="214"/>
        <w:gridCol w:w="854"/>
        <w:gridCol w:w="612"/>
      </w:tblGrid>
      <w:tr>
        <w:trPr/>
        <w:tc>
          <w:tcPr>
            <w:tcW w:w="70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119,077</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4,434</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165,538</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12,288</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35,094</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221,103</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6,719</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6,025</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22,933</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34,632</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2,989</w:t>
            </w:r>
          </w:p>
        </w:tc>
        <w:tc>
          <w:tcPr>
            <w:tcW w:w="6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62,507</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10,000,000 shares authorized and zero shares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500,000,000 shares authorized; 37,647,057 and 37,620,668 shares issued and outstanding as of March 31,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469,202</w:t>
            </w:r>
          </w:p>
        </w:tc>
        <w:tc>
          <w:tcPr>
            <w:tcW w:w="6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6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(310,870</w:t>
            </w:r>
          </w:p>
        </w:tc>
        <w:tc>
          <w:tcPr>
            <w:tcW w:w="61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1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158,596</w:t>
            </w:r>
          </w:p>
        </w:tc>
        <w:tc>
          <w:tcPr>
            <w:tcW w:w="6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1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221,103</w:t>
            </w:r>
          </w:p>
        </w:tc>
        <w:tc>
          <w:tcPr>
            <w:tcW w:w="6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Metagenomi Therapeutics, Inc.</w:t>
      </w:r>
    </w:p>
    <w:p>
      <w:pPr>
        <w:pStyle w:val="TextBody"/>
        <w:bidi w:val="0"/>
        <w:jc w:val="center"/>
        <w:rPr>
          <w:rFonts w:ascii="Times New Roman" w:hAnsi="Times New Roman"/>
          <w:b/>
          <w:color w:val="000000"/>
          <w:sz w:val="20"/>
        </w:rPr>
      </w:pPr>
      <w:bookmarkStart w:id="5" w:name="statements_of_operations"/>
      <w:bookmarkEnd w:id="5"/>
      <w:r>
        <w:rPr>
          <w:rFonts w:ascii="Times New Roman" w:hAnsi="Times New Roman"/>
          <w:b/>
          <w:color w:val="000000"/>
          <w:sz w:val="20"/>
        </w:rPr>
        <w:t>Condensed Statements of Operations and Comprehensive Loss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In thousands, except share and per share data</w:t>
      </w:r>
      <w:r>
        <w:rPr>
          <w:rFonts w:ascii="Times New Roman" w:hAnsi="Times New Roman"/>
          <w:b/>
          <w:color w:val="000000"/>
          <w:sz w:val="20"/>
        </w:rPr>
        <w:t>)</w:t>
      </w:r>
    </w:p>
    <w:p>
      <w:pPr>
        <w:pStyle w:val="TextBody"/>
        <w:bidi w:val="0"/>
        <w:jc w:val="left"/>
        <w:rPr/>
      </w:pPr>
      <w:r>
        <w:rPr/>
        <w:t> </w:t>
      </w:r>
    </w:p>
    <w:tbl>
      <w:tblPr>
        <w:tblW w:w="9609" w:type="dxa"/>
        <w:jc w:val="left"/>
        <w:tblInd w:w="0" w:type="dxa"/>
        <w:tblLayout w:type="fixed"/>
        <w:tblCellMar>
          <w:top w:w="28" w:type="dxa"/>
          <w:left w:w="28" w:type="dxa"/>
          <w:bottom w:w="28" w:type="dxa"/>
          <w:right w:w="28" w:type="dxa"/>
        </w:tblCellMar>
      </w:tblPr>
      <w:tblGrid>
        <w:gridCol w:w="6046"/>
        <w:gridCol w:w="146"/>
        <w:gridCol w:w="211"/>
        <w:gridCol w:w="1036"/>
        <w:gridCol w:w="166"/>
        <w:gridCol w:w="146"/>
        <w:gridCol w:w="211"/>
        <w:gridCol w:w="1036"/>
        <w:gridCol w:w="611"/>
      </w:tblGrid>
      <w:tr>
        <w:trPr/>
        <w:tc>
          <w:tcPr>
            <w:tcW w:w="6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37,581,094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37,019,027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Metagenomi Therapeutics, Inc.</w:t>
      </w:r>
    </w:p>
    <w:p>
      <w:pPr>
        <w:pStyle w:val="TextBody"/>
        <w:bidi w:val="0"/>
        <w:jc w:val="center"/>
        <w:rPr>
          <w:rFonts w:ascii="Times New Roman" w:hAnsi="Times New Roman"/>
          <w:b/>
          <w:color w:val="000000"/>
          <w:sz w:val="20"/>
        </w:rPr>
      </w:pPr>
      <w:bookmarkStart w:id="6" w:name="condensed_consolidated_statements_equity"/>
      <w:bookmarkEnd w:id="6"/>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In thousands, except share data</w:t>
      </w:r>
      <w:r>
        <w:rPr>
          <w:rFonts w:ascii="Times New Roman" w:hAnsi="Times New Roman"/>
          <w:b/>
          <w:color w:val="000000"/>
          <w:sz w:val="20"/>
        </w:rPr>
        <w:t>)</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26"/>
        <w:gridCol w:w="146"/>
        <w:gridCol w:w="146"/>
        <w:gridCol w:w="1036"/>
        <w:gridCol w:w="166"/>
        <w:gridCol w:w="146"/>
        <w:gridCol w:w="261"/>
        <w:gridCol w:w="430"/>
        <w:gridCol w:w="146"/>
        <w:gridCol w:w="146"/>
        <w:gridCol w:w="249"/>
        <w:gridCol w:w="926"/>
        <w:gridCol w:w="146"/>
        <w:gridCol w:w="146"/>
        <w:gridCol w:w="407"/>
        <w:gridCol w:w="933"/>
        <w:gridCol w:w="166"/>
        <w:gridCol w:w="146"/>
        <w:gridCol w:w="211"/>
        <w:gridCol w:w="841"/>
        <w:gridCol w:w="166"/>
        <w:gridCol w:w="146"/>
        <w:gridCol w:w="224"/>
        <w:gridCol w:w="834"/>
        <w:gridCol w:w="215"/>
      </w:tblGrid>
      <w:tr>
        <w:trPr/>
        <w:tc>
          <w:tcPr>
            <w:tcW w:w="1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37,620,668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158,596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Forfeiture of unvested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37,647,057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(333,929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137,785</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060" w:type="dxa"/>
        <w:jc w:val="left"/>
        <w:tblInd w:w="0" w:type="dxa"/>
        <w:tblLayout w:type="fixed"/>
        <w:tblCellMar>
          <w:top w:w="28" w:type="dxa"/>
          <w:left w:w="28" w:type="dxa"/>
          <w:bottom w:w="28" w:type="dxa"/>
          <w:right w:w="28" w:type="dxa"/>
        </w:tblCellMar>
      </w:tblPr>
      <w:tblGrid>
        <w:gridCol w:w="2776"/>
        <w:gridCol w:w="146"/>
        <w:gridCol w:w="146"/>
        <w:gridCol w:w="1036"/>
        <w:gridCol w:w="166"/>
        <w:gridCol w:w="146"/>
        <w:gridCol w:w="211"/>
        <w:gridCol w:w="346"/>
        <w:gridCol w:w="146"/>
        <w:gridCol w:w="146"/>
        <w:gridCol w:w="211"/>
        <w:gridCol w:w="781"/>
        <w:gridCol w:w="146"/>
        <w:gridCol w:w="146"/>
        <w:gridCol w:w="211"/>
        <w:gridCol w:w="421"/>
        <w:gridCol w:w="166"/>
        <w:gridCol w:w="146"/>
        <w:gridCol w:w="211"/>
        <w:gridCol w:w="841"/>
        <w:gridCol w:w="166"/>
        <w:gridCol w:w="146"/>
        <w:gridCol w:w="211"/>
        <w:gridCol w:w="781"/>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37,418,470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457,146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Forfeiture of unvested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37,382,478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460,074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212,658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Metagenomi Therapeutics, Inc.</w:t>
      </w:r>
    </w:p>
    <w:p>
      <w:pPr>
        <w:pStyle w:val="TextBody"/>
        <w:bidi w:val="0"/>
        <w:jc w:val="center"/>
        <w:rPr>
          <w:rFonts w:ascii="Times New Roman" w:hAnsi="Times New Roman"/>
          <w:b/>
          <w:color w:val="000000"/>
          <w:sz w:val="20"/>
        </w:rPr>
      </w:pPr>
      <w:bookmarkStart w:id="7" w:name="statement_of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rFonts w:ascii="Times New Roman" w:hAnsi="Times New Roman"/>
          <w:sz w:val="20"/>
        </w:rPr>
      </w:pPr>
      <w:r>
        <w:rPr>
          <w:rFonts w:ascii="Times New Roman" w:hAnsi="Times New Roman"/>
          <w:b/>
          <w:color w:val="000000"/>
          <w:sz w:val="20"/>
        </w:rPr>
        <w:t>(</w:t>
      </w:r>
      <w:r>
        <w:rPr>
          <w:rFonts w:ascii="Times New Roman" w:hAnsi="Times New Roman"/>
          <w:b/>
          <w:i/>
          <w:color w:val="000000"/>
          <w:sz w:val="20"/>
        </w:rPr>
        <w:t>In thousands</w:t>
      </w:r>
      <w:r>
        <w:rPr>
          <w:rFonts w:ascii="Times New Roman" w:hAnsi="Times New Roman"/>
          <w:b/>
          <w:color w:val="000000"/>
          <w:sz w:val="20"/>
        </w:rPr>
        <w: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63"/>
        <w:gridCol w:w="146"/>
        <w:gridCol w:w="240"/>
        <w:gridCol w:w="811"/>
        <w:gridCol w:w="203"/>
        <w:gridCol w:w="178"/>
        <w:gridCol w:w="240"/>
        <w:gridCol w:w="811"/>
        <w:gridCol w:w="613"/>
      </w:tblGrid>
      <w:tr>
        <w:trPr/>
        <w:tc>
          <w:tcPr>
            <w:tcW w:w="69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69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(23,059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(25,039</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1,273</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Accretion of discounts on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9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non-cash 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2,237</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2,210</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(748</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(3,049</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9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(2,648</w:t>
            </w:r>
          </w:p>
        </w:tc>
        <w:tc>
          <w:tcPr>
            <w:tcW w:w="6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96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(1,371</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96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(21,175</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(22,842</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9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9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(36,748</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(22,287</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Maturities of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40,759</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47,303</w:t>
            </w:r>
          </w:p>
        </w:tc>
        <w:tc>
          <w:tcPr>
            <w:tcW w:w="61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3,986</w:t>
            </w:r>
          </w:p>
        </w:tc>
        <w:tc>
          <w:tcPr>
            <w:tcW w:w="20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24,728</w:t>
            </w:r>
          </w:p>
        </w:tc>
        <w:tc>
          <w:tcPr>
            <w:tcW w:w="61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9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9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(17,216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1,809</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46,915</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32,634</w:t>
            </w:r>
          </w:p>
        </w:tc>
        <w:tc>
          <w:tcPr>
            <w:tcW w:w="6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29,699</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34,443</w:t>
            </w:r>
          </w:p>
        </w:tc>
        <w:tc>
          <w:tcPr>
            <w:tcW w:w="6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 included in accounts payable,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finance issuance costs included in accounts payable, 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Reconciliation of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25,306</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29,195</w:t>
            </w:r>
          </w:p>
        </w:tc>
        <w:tc>
          <w:tcPr>
            <w:tcW w:w="6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4,393</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5,248</w:t>
            </w:r>
          </w:p>
        </w:tc>
        <w:tc>
          <w:tcPr>
            <w:tcW w:w="6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96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29,699</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34,443</w:t>
            </w:r>
          </w:p>
        </w:tc>
        <w:tc>
          <w:tcPr>
            <w:tcW w:w="6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condensed financial statements.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Metagenomi Therapeutics, Inc.</w:t>
      </w:r>
    </w:p>
    <w:p>
      <w:pPr>
        <w:pStyle w:val="TextBody"/>
        <w:bidi w:val="0"/>
        <w:jc w:val="center"/>
        <w:rPr>
          <w:rFonts w:ascii="Times New Roman" w:hAnsi="Times New Roman"/>
          <w:b/>
          <w:color w:val="000000"/>
          <w:sz w:val="20"/>
        </w:rPr>
      </w:pPr>
      <w:bookmarkStart w:id="8" w:name="notes_to_financial_statements"/>
      <w:bookmarkEnd w:id="8"/>
      <w:r>
        <w:rPr>
          <w:rFonts w:ascii="Times New Roman" w:hAnsi="Times New Roman"/>
          <w:b/>
          <w:color w:val="000000"/>
          <w:sz w:val="20"/>
        </w:rPr>
        <w:t>Notes to Condensed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Description of Business, Organization and Liquidity</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Organization and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Metagenomi Therapeutics, Inc. (“Metagenomi” or the “Company”), formerly known as Metagenomi, Inc., is an in vivo genome editing company capitalizing on its proprietary technologies to create curative genetic medicines for patients.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Name Change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first quarter of 2026, the Company announced a corporate name change to Metagenomi Therapeutics, Inc. This change emphasized the Company’s strategic evolution focused on driving its later-stage preclinical programs into the clinic and utilizing its most advanced technologies that have the highest probability of success to deliver the benefits of gene-editing therapeutics to patients. </w:t>
      </w:r>
    </w:p>
    <w:p>
      <w:pPr>
        <w:pStyle w:val="TextBody"/>
        <w:bidi w:val="0"/>
        <w:jc w:val="left"/>
        <w:rPr/>
      </w:pPr>
      <w:r>
        <w:rPr/>
        <w:t> </w:t>
      </w:r>
    </w:p>
    <w:p>
      <w:pPr>
        <w:pStyle w:val="TextBody"/>
        <w:bidi w:val="0"/>
        <w:jc w:val="left"/>
        <w:rPr>
          <w:rFonts w:ascii="Times New Roman" w:hAnsi="Times New Roman"/>
          <w:b/>
          <w:i/>
          <w:color w:val="231F20"/>
          <w:sz w:val="20"/>
        </w:rPr>
      </w:pPr>
      <w:r>
        <w:rPr>
          <w:rFonts w:ascii="Times New Roman" w:hAnsi="Times New Roman"/>
          <w:b/>
          <w:i/>
          <w:color w:val="231F20"/>
          <w:sz w:val="20"/>
        </w:rPr>
        <w:t>Liquidity and Going Concern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has incurred significant losses and negative cash flows from operations since its inception. As of March 31, 2026, the Company had an accumulated deficit of $333.9 million. The Company has historically financed its operations primarily through issuance of redeemable convertible preferred stock, convertible promissory notes, its collaboration agreements, and sales of its common stock. In February 2024, the Company completed its IPO for aggregate net proceeds of approximately $80.7 million, after deducting underwriting discounts and commissions and other offering costs totaling approximately $13.0 million. As of March 31, 2026, the Company had $75.0 million of capacity available under the ATM Sales Agreement. The Company expects to continue to incur substantial losses, and its ability to achieve and sustain profitability will depend on the successful development, approval, and commercialization of any product candidates it may develop, and on the achievement of sufficient revenue to support its cost structure. The Company may never achieve profitability and, unless and until it does, it will need to continue to raise additional capital. There can be no assurance that the Company will be successful in acquiring additional capital at levels sufficient to fund its operations or on terms acceptable to the Company or at all. Management believes that existing cash, cash equivalents and available-for-sale marketable securities as of March 31, 2026, of $140.2 million will be sufficient to fund its current operating plan for at least the next 12 months from the date of issuance of these unaudited condensed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are described in Note 2, “Summary of Significant Accounting Policies” to the financial statements included in the Annual Report on Form 10-K for the year ended December 31, 2025. There have been no material changes to these policies during the three months ended March 31,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These condensed financial statements have been prepared in accordance with accounting principles generally accepted in the United States of America (“U.S. GAAP”) for interim financial information and pursuant to Form 10-Q and Article 10 of Regulation S-X of the Securities and Exchanges Commission (“SEC”). Accordingly, these financial statements do not include all of the information and footnotes required by U.S. GAAP for complete financial statements. In the opinion of management, these financial statements include all adjustments (consisting only of normal recurring adjustments) considered necessary for a fair statement of the Company’s condensed financial statements for the periods presented. </w:t>
      </w:r>
      <w:r>
        <w:rPr>
          <w:rFonts w:ascii="Times New Roman" w:hAnsi="Times New Roman"/>
          <w:color w:val="000000"/>
          <w:sz w:val="20"/>
        </w:rPr>
        <w:t xml:space="preserve">These interim financial results are not necessarily indicative of results to be expected for the full fiscal year ending December 31, 2026, or any other future period. Readers should read these interim unaudited condensed financial statements in conjunction with the audited financial statements and the related notes thereto for the year ended December 31, 2025, included in the Company’s Annual Report on Form 10-K filed with the SEC. </w:t>
      </w:r>
      <w:r>
        <w:rPr>
          <w:rFonts w:ascii="Times New Roman" w:hAnsi="Times New Roman"/>
          <w:color w:val="231F20"/>
          <w:sz w:val="20"/>
        </w:rPr>
        <w:t>Any reference in these notes to applicable guidance is meant to refer to the authoritative GAAP as found in the Accounting Standards Codification (“ASC”) and Accounting Standards Updates (“ASU”) of the Financial Accounting Standards Board (“FASB”).</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Use of Estimates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expenses during the reporting period. On an ongoing basis, the Company evaluates estimates and assumptions, including but not limited to those related to revenue recognition under its collaboration agreements, stock-based compensation expense, accruals, the fair value of long-term investments, the valuation of deferred tax assets and uncertain income tax positions. Management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materially from those estimates.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Recently Issued Accounting Pronouncements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In November 2024, the FASB issued ASU 2024-03, Income Statement - Reporting Comprehensive Income - Expense Disaggregation Disclosures (Subtopic 220-40): Disaggregation of Income Statement Expenses. This ASU requires, among other things, more detailed disclosures about specified categories of expense (purchases of inventory, employee compensation, depreciation, amortization, and depletion) included in certain expense captions presented on the face of the income statement. ASU 2024-03 is effective for fiscal years beginning after December 15, 2026, and for interim periods within fiscal years beginning after December 15, 2027, with early adoption permitted. This ASU may be applied prospectively with the option for retrospective application. The Company is currently evaluating the impact of the adoption of this standard on its financial statements.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tables summarize financial assets that were measured at fair value on a recurring basis by level within the fair value hierarchy (in thousands):</w:t>
      </w:r>
    </w:p>
    <w:tbl>
      <w:tblPr>
        <w:tblW w:w="9955" w:type="dxa"/>
        <w:jc w:val="left"/>
        <w:tblInd w:w="0" w:type="dxa"/>
        <w:tblLayout w:type="fixed"/>
        <w:tblCellMar>
          <w:top w:w="28" w:type="dxa"/>
          <w:left w:w="28" w:type="dxa"/>
          <w:bottom w:w="28" w:type="dxa"/>
          <w:right w:w="28" w:type="dxa"/>
        </w:tblCellMar>
      </w:tblPr>
      <w:tblGrid>
        <w:gridCol w:w="5041"/>
        <w:gridCol w:w="146"/>
        <w:gridCol w:w="211"/>
        <w:gridCol w:w="781"/>
        <w:gridCol w:w="146"/>
        <w:gridCol w:w="146"/>
        <w:gridCol w:w="211"/>
        <w:gridCol w:w="676"/>
        <w:gridCol w:w="146"/>
        <w:gridCol w:w="146"/>
        <w:gridCol w:w="211"/>
        <w:gridCol w:w="781"/>
        <w:gridCol w:w="146"/>
        <w:gridCol w:w="146"/>
        <w:gridCol w:w="239"/>
        <w:gridCol w:w="391"/>
        <w:gridCol w:w="39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agency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fair value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138,359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23,503</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955" w:type="dxa"/>
        <w:jc w:val="left"/>
        <w:tblInd w:w="0" w:type="dxa"/>
        <w:tblLayout w:type="fixed"/>
        <w:tblCellMar>
          <w:top w:w="28" w:type="dxa"/>
          <w:left w:w="28" w:type="dxa"/>
          <w:bottom w:w="28" w:type="dxa"/>
          <w:right w:w="28" w:type="dxa"/>
        </w:tblCellMar>
      </w:tblPr>
      <w:tblGrid>
        <w:gridCol w:w="5041"/>
        <w:gridCol w:w="146"/>
        <w:gridCol w:w="211"/>
        <w:gridCol w:w="781"/>
        <w:gridCol w:w="146"/>
        <w:gridCol w:w="146"/>
        <w:gridCol w:w="211"/>
        <w:gridCol w:w="676"/>
        <w:gridCol w:w="146"/>
        <w:gridCol w:w="146"/>
        <w:gridCol w:w="211"/>
        <w:gridCol w:w="781"/>
        <w:gridCol w:w="146"/>
        <w:gridCol w:w="146"/>
        <w:gridCol w:w="239"/>
        <w:gridCol w:w="391"/>
        <w:gridCol w:w="391"/>
      </w:tblGrid>
      <w:tr>
        <w:trPr/>
        <w:tc>
          <w:tcPr>
            <w:tcW w:w="5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 (included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agency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fair value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159,798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119,077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231F20"/>
          <w:sz w:val="20"/>
        </w:rPr>
      </w:pPr>
      <w:r>
        <w:rPr>
          <w:rFonts w:ascii="Times New Roman" w:hAnsi="Times New Roman"/>
          <w:color w:val="231F20"/>
          <w:sz w:val="20"/>
        </w:rPr>
        <w:t>In addition, restricted cash of $4.4 million and $5.2 million as of March 31, 2026 and December 31, 2025, respectively, collateralized by the Company’s cash equivalents, are financial assets measured at fair value and are Level 1 financial instruments under the fair value hierarchy.</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The Company has investments in preferred stock, common stock and warrants of Affini-T Therapeutics, Inc. (“Affini-T”) (see Note 5, “Long-Term Investments”) which are Level 3 financial assets. The equity value of the investments in Affini-T was determined under a fair-value hybrid method with the changes in fair value recorded within other income (expense), net. The hybrid method is a hybrid between the probability-weighted expected returns method (the “PWERM”) and the option-pricing model backsolve method (the “OPM”). </w:t>
      </w:r>
      <w:r>
        <w:rPr>
          <w:rFonts w:ascii="Times New Roman" w:hAnsi="Times New Roman"/>
          <w:color w:val="000000"/>
          <w:sz w:val="20"/>
        </w:rPr>
        <w:t>As of March 31, 2026 and December 31, 2025, the estimated fair value of the Company’s investments in Affini-T was zero</w:t>
      </w:r>
      <w:r>
        <w:rPr>
          <w:rFonts w:ascii="Times New Roman" w:hAnsi="Times New Roman"/>
          <w:color w:val="231F20"/>
          <w:sz w:val="20"/>
        </w:rPr>
        <w:t xml:space="preserve">. </w:t>
      </w:r>
      <w:r>
        <w:rPr>
          <w:rFonts w:ascii="Times New Roman" w:hAnsi="Times New Roman"/>
          <w:color w:val="000000"/>
          <w:sz w:val="20"/>
        </w:rPr>
        <w:t xml:space="preserve">During the three months ended March 31, 2026 and 2025, the Company did not record any </w:t>
      </w:r>
      <w:r>
        <w:rPr>
          <w:rFonts w:ascii="Times New Roman" w:hAnsi="Times New Roman"/>
          <w:color w:val="231F20"/>
          <w:sz w:val="20"/>
        </w:rPr>
        <w:t>changes in the fair value of the Company’s Level 3 financial assets.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Marketable Securities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tables summarize the amortized cost, unrealized gains (losses) and fair value of available-for-sale marketable securities (in thousands):</w:t>
      </w:r>
    </w:p>
    <w:tbl>
      <w:tblPr>
        <w:tblW w:w="9395" w:type="dxa"/>
        <w:jc w:val="left"/>
        <w:tblInd w:w="0" w:type="dxa"/>
        <w:tblLayout w:type="fixed"/>
        <w:tblCellMar>
          <w:top w:w="28" w:type="dxa"/>
          <w:left w:w="28" w:type="dxa"/>
          <w:bottom w:w="28" w:type="dxa"/>
          <w:right w:w="28" w:type="dxa"/>
        </w:tblCellMar>
      </w:tblPr>
      <w:tblGrid>
        <w:gridCol w:w="4066"/>
        <w:gridCol w:w="146"/>
        <w:gridCol w:w="211"/>
        <w:gridCol w:w="781"/>
        <w:gridCol w:w="166"/>
        <w:gridCol w:w="146"/>
        <w:gridCol w:w="335"/>
        <w:gridCol w:w="551"/>
        <w:gridCol w:w="146"/>
        <w:gridCol w:w="146"/>
        <w:gridCol w:w="270"/>
        <w:gridCol w:w="616"/>
        <w:gridCol w:w="166"/>
        <w:gridCol w:w="146"/>
        <w:gridCol w:w="211"/>
        <w:gridCol w:w="781"/>
        <w:gridCol w:w="5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23,503</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59,659</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agency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18,306</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18,700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18,191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138,403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6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138,359</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classified as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(23,503</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114,856</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395" w:type="dxa"/>
        <w:jc w:val="left"/>
        <w:tblInd w:w="0" w:type="dxa"/>
        <w:tblLayout w:type="fixed"/>
        <w:tblCellMar>
          <w:top w:w="28" w:type="dxa"/>
          <w:left w:w="28" w:type="dxa"/>
          <w:bottom w:w="28" w:type="dxa"/>
          <w:right w:w="28" w:type="dxa"/>
        </w:tblCellMar>
      </w:tblPr>
      <w:tblGrid>
        <w:gridCol w:w="4066"/>
        <w:gridCol w:w="146"/>
        <w:gridCol w:w="211"/>
        <w:gridCol w:w="781"/>
        <w:gridCol w:w="166"/>
        <w:gridCol w:w="146"/>
        <w:gridCol w:w="295"/>
        <w:gridCol w:w="591"/>
        <w:gridCol w:w="146"/>
        <w:gridCol w:w="146"/>
        <w:gridCol w:w="335"/>
        <w:gridCol w:w="551"/>
        <w:gridCol w:w="166"/>
        <w:gridCol w:w="146"/>
        <w:gridCol w:w="211"/>
        <w:gridCol w:w="781"/>
        <w:gridCol w:w="5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40,721</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72,177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Government agency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15,825</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15,864</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159,538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55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159,798</w:t>
            </w:r>
          </w:p>
        </w:tc>
        <w:tc>
          <w:tcPr>
            <w:tcW w:w="5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amounts classified as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(40,721</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119,077</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231F20"/>
          <w:sz w:val="20"/>
        </w:rPr>
      </w:pPr>
      <w:r>
        <w:rPr>
          <w:rFonts w:ascii="Times New Roman" w:hAnsi="Times New Roman"/>
          <w:color w:val="231F20"/>
          <w:sz w:val="20"/>
        </w:rPr>
        <w:t>As of March 31, 2026 and December 31, 2025, no significant facts or circumstances were present to indicate a deterioration in the creditworthiness of the issuers of the available-for-sale securities, and the Company has no requirement or intention to sell these securities before maturity or recovery of their amortized cost basis. The Company considered the current and expected future economic and market conditions and determined that its investments were not significantly impacted. For all securities with a fair value less than its amortized cost basis, the Company determined the decline in fair value below amortized cost basis to be immaterial and non-credit related, and therefore no allowance for losses has been recorded. During the three months ended March 31, 2026 and 2025, the Company did not recognize any impairment losses on its investments.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Accrued interest receivable included in prepaid expenses and other current assets as of March 31, 2026 and December 31, 2025 was $1.0 million and $1.2 million, respectively. The Company has not written off any accrued interest receivable during the three months ended March 31, 2026 and 2025.</w:t>
      </w:r>
    </w:p>
    <w:p>
      <w:pPr>
        <w:pStyle w:val="TextBody"/>
        <w:bidi w:val="0"/>
        <w:spacing w:before="240" w:after="120"/>
        <w:jc w:val="left"/>
        <w:rPr>
          <w:rFonts w:ascii="Times New Roman" w:hAnsi="Times New Roman"/>
          <w:color w:val="231F20"/>
          <w:sz w:val="20"/>
        </w:rPr>
      </w:pPr>
      <w:r>
        <w:rPr>
          <w:rFonts w:ascii="Times New Roman" w:hAnsi="Times New Roman"/>
          <w:color w:val="231F20"/>
          <w:sz w:val="20"/>
        </w:rPr>
        <w:t>The amortized cost and fair value of available-for-sale marketable securities by contractual maturity were as follows (in thousands):</w:t>
      </w:r>
    </w:p>
    <w:tbl>
      <w:tblPr>
        <w:tblW w:w="9347" w:type="dxa"/>
        <w:jc w:val="left"/>
        <w:tblInd w:w="0" w:type="dxa"/>
        <w:tblLayout w:type="fixed"/>
        <w:tblCellMar>
          <w:top w:w="28" w:type="dxa"/>
          <w:left w:w="28" w:type="dxa"/>
          <w:bottom w:w="28" w:type="dxa"/>
          <w:right w:w="28" w:type="dxa"/>
        </w:tblCellMar>
      </w:tblPr>
      <w:tblGrid>
        <w:gridCol w:w="3966"/>
        <w:gridCol w:w="146"/>
        <w:gridCol w:w="211"/>
        <w:gridCol w:w="781"/>
        <w:gridCol w:w="146"/>
        <w:gridCol w:w="146"/>
        <w:gridCol w:w="211"/>
        <w:gridCol w:w="781"/>
        <w:gridCol w:w="146"/>
        <w:gridCol w:w="146"/>
        <w:gridCol w:w="211"/>
        <w:gridCol w:w="781"/>
        <w:gridCol w:w="146"/>
        <w:gridCol w:w="146"/>
        <w:gridCol w:w="211"/>
        <w:gridCol w:w="781"/>
        <w:gridCol w:w="391"/>
      </w:tblGrid>
      <w:tr>
        <w:trPr/>
        <w:tc>
          <w:tcPr>
            <w:tcW w:w="3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in one to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114,856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118,817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Long-Term Investments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Affini-T investment</w:t>
      </w:r>
    </w:p>
    <w:p>
      <w:pPr>
        <w:pStyle w:val="TextBody"/>
        <w:bidi w:val="0"/>
        <w:spacing w:before="240" w:after="283"/>
        <w:jc w:val="left"/>
        <w:rPr>
          <w:rFonts w:ascii="Times New Roman" w:hAnsi="Times New Roman"/>
          <w:sz w:val="20"/>
        </w:rPr>
      </w:pPr>
      <w:r>
        <w:rPr>
          <w:rFonts w:ascii="Times New Roman" w:hAnsi="Times New Roman"/>
          <w:color w:val="000000"/>
          <w:sz w:val="20"/>
        </w:rPr>
        <w:t>As of March 31, 2026 and December 31, 2025, t</w:t>
      </w:r>
      <w:r>
        <w:rPr>
          <w:rFonts w:ascii="Times New Roman" w:hAnsi="Times New Roman"/>
          <w:color w:val="231F20"/>
          <w:sz w:val="20"/>
        </w:rPr>
        <w:t xml:space="preserve">he Company </w:t>
      </w:r>
      <w:r>
        <w:rPr>
          <w:rFonts w:ascii="Times New Roman" w:hAnsi="Times New Roman"/>
          <w:color w:val="000000"/>
          <w:sz w:val="20"/>
        </w:rPr>
        <w:t xml:space="preserve">had investments in Affini-T consisting of 527,035 shares of Series A convertible preferred stock, 33,383 shares of Series B Preferred Stock, 1,867,300 shares of common stock, and a warrant exercisable for 16,691 shares of common stock.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 September 2025, Affini-T made an assignment for the benefit of creditors to Affini (assignment for the benefit of creditors), LLC, a California limited liability company, pursuant to California state law. As of March 31, 2026 and December 31, 2025, the estimated fair value of the Company’s investments in Affini-T was zero</w:t>
      </w:r>
      <w:r>
        <w:rPr>
          <w:rFonts w:ascii="Times New Roman" w:hAnsi="Times New Roman"/>
          <w:color w:val="231F20"/>
          <w:sz w:val="20"/>
        </w:rPr>
        <w:t xml:space="preserve">.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ViTToria investment</w:t>
      </w:r>
    </w:p>
    <w:p>
      <w:pPr>
        <w:pStyle w:val="TextBody"/>
        <w:bidi w:val="0"/>
        <w:spacing w:before="120" w:after="283"/>
        <w:jc w:val="left"/>
        <w:rPr>
          <w:rFonts w:ascii="Times New Roman" w:hAnsi="Times New Roman"/>
          <w:sz w:val="20"/>
        </w:rPr>
      </w:pPr>
      <w:r>
        <w:rPr>
          <w:rFonts w:ascii="Times New Roman" w:hAnsi="Times New Roman"/>
          <w:color w:val="231F20"/>
          <w:sz w:val="20"/>
        </w:rPr>
        <w:t>As of March 31, 2026 and December 31, 2025, the Company had an investment in shares of preferred stock of Vittoria Biotherapeutics, Inc. (“Vittoria”), a private biotechnology company. During the three months ended March 31, 2026, and year ended December 31, 2025, the Company did not have a board seat and owned less than 20% of the outstanding voting shares of Vittoria. The investment in Vittoria does not provide the Company the ability to control or have significant influence over Vittoria’s operations. The Company accounts for its investment in Vittoria using the measurement alternative method. As of March 31, 2026 and December 31, 2025, the carrying value of Vittoria’s investment was $2.2 million and no impairment was recognized</w:t>
      </w:r>
      <w:r>
        <w:rPr>
          <w:rFonts w:ascii="Times New Roman" w:hAnsi="Times New Roman"/>
          <w:color w:val="000000"/>
          <w:sz w:val="20"/>
        </w:rPr>
        <w: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Accrued Expenses and Other Current Liabilities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Accrued expenses and other current liabilities consist of the following (in thousands):</w:t>
      </w:r>
    </w:p>
    <w:tbl>
      <w:tblPr>
        <w:tblW w:w="8050" w:type="dxa"/>
        <w:jc w:val="left"/>
        <w:tblInd w:w="0" w:type="dxa"/>
        <w:tblLayout w:type="fixed"/>
        <w:tblCellMar>
          <w:top w:w="28" w:type="dxa"/>
          <w:left w:w="28" w:type="dxa"/>
          <w:bottom w:w="28" w:type="dxa"/>
          <w:right w:w="28" w:type="dxa"/>
        </w:tblCellMar>
      </w:tblPr>
      <w:tblGrid>
        <w:gridCol w:w="4461"/>
        <w:gridCol w:w="146"/>
        <w:gridCol w:w="340"/>
        <w:gridCol w:w="920"/>
        <w:gridCol w:w="146"/>
        <w:gridCol w:w="146"/>
        <w:gridCol w:w="403"/>
        <w:gridCol w:w="1097"/>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personnel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and 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Significant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Ionis collaboration and license agreement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Terms of the agreement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2022, the Company entered into a Collaboration and License Agreement with </w:t>
      </w:r>
      <w:r>
        <w:rPr>
          <w:rFonts w:ascii="Times New Roman" w:hAnsi="Times New Roman"/>
          <w:color w:val="231F20"/>
          <w:sz w:val="20"/>
        </w:rPr>
        <w:t>Ionis Pharmaceuticals, Inc. (“</w:t>
      </w:r>
      <w:r>
        <w:rPr>
          <w:rFonts w:ascii="Times New Roman" w:hAnsi="Times New Roman"/>
          <w:color w:val="000000"/>
          <w:sz w:val="20"/>
        </w:rPr>
        <w:t xml:space="preserve">Ionis”) (the “Ionis Agreement”) to research, develop and commercialize investigational medicines using the Company’s genome editing technologies, with the goal of discovering novel medicines. Pursuant to the terms of the Ionis Agreement, the Company granted Ionis and its affiliates a worldwide exclusive, royalty-bearing license, with the right to grant sublicenses, to use all licensed systems and licensed products in the field of </w:t>
      </w:r>
      <w:r>
        <w:rPr>
          <w:rFonts w:ascii="Times New Roman" w:hAnsi="Times New Roman"/>
          <w:i/>
          <w:color w:val="000000"/>
          <w:sz w:val="20"/>
        </w:rPr>
        <w:t>in vivo</w:t>
      </w:r>
      <w:r>
        <w:rPr>
          <w:rFonts w:ascii="Times New Roman" w:hAnsi="Times New Roman"/>
          <w:color w:val="000000"/>
          <w:sz w:val="20"/>
        </w:rPr>
        <w:t xml:space="preserve"> genome editing for all therapeutic, prophylactic, palliative, and analgesic uses in humans. In connection with the Ionis Agreement, the Company also has the right to exercise an exclusive option to co-develop and co-commercialize certain products under a drug discovery program. A joint steering committee was established by both parties to coordinate, oversee and monitor the research and drug discovery activities under the Ionis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parties will collaborate to discover therapeutic products under a drug discovery program and develop a drug discovery plan for each target, selected by Ionis. The target selection is divided into two waves: up to four targets in Wave 1 and up to four targets in Wave 2. For each drug discovery program, once the parties identify a development candidate that is suitable for further development, Ionis will be responsible for the development and commercialization of products resulting from such program. Per the terms of the Ionis Agreement, at any time prior to the designation of a development candidate for a drug discovery program and for any reason, Ionis may replace the collaboration target, provided such target has not previously been substituted out. Ionis may substitute (i) up to two Wave 1 targets and (ii) up to two Wave 2 targets.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drug discovery activities for a program commence on the selection of a target and expire upon the earlier of (a) completion of all drug discovery activities for such program, (b) the fifth anniversary of the effective date and (c) selection of a development candidate for such drug discovery program. If one or more Wave 2 targets become collaboration targets as a result of the parties achieving enabled delivery and less than two years are remaining in the drug discovery term, then the term will be extended to the earlier of (i) the time that the Company completes all of its activities under the applicable drug discovery plan and (ii) the seventh anniversary of the effective date, subject to the Company’s consent.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parties will also conduct an exploratory research program, and will jointly optimize gRNA and select delivery technologies and other activities. The exploratory research activities commence on the effective date and expire upon the earlier of (a) completion of all exploratory research activities established in the exploratory research plan, and (b) the fifth anniversary of the effective date.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the exclusive option to co-develop and co-commercialize the licensed products under a drug discovery program (the “Co-Co Option”) with Ionis. The Co-Co Option may be exercised for (a) the initial Wave 1 target (“Target 1”), (b) no more than one of the other three discovery programs for the Wave 1 targets, and (c) no more than two drug discovery programs for the Wave 2 targets that become collaboration targets. If the Company exercises the Co-Co Option for a particular drug discovery program, that drug discovery program will automatically be deemed a “Co-Co Program,” all corresponding licensed products be deemed “Co-Co Products,” the Company will be obligated to pay Ionis an option exercise fee, and the parties will enter into a separate co-development and co-commercialization agreement. The Co-Co Option exercise fee will equal 50% of Ionis’ internal costs and out-of-pocket costs incurred in the conduct of the drug discovery activities prior to the exercise of the Co-Co Option and be reduced by 50% of the Company’s corresponding costs incurred. Future development and commercialization costs will be shared equally. The Company may elect to reduce its cost-share percentage anywhere between 50% and 25% on a go-forward basis, provided the Company will continue to bear 50% of the costs of any clinical trials ongoing at the time of the election through the completion of the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will manufacture all licensed systems and certain components of the applicable licensed products that are needed by Ionis for use in its development activities and all of the Company’s manufactured components needed by Ionis for use in its commercialization activities. The Company will provide the manufactured components at a price that represents the cost of goods plus 15%. As of March 31, 2026, the Company received a total of $2.5 million related to the manufactured components.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Pursuant to the terms of the Ionis Agreement, the Company has also been granted an option to obtain a non-exclusive, royalty-bearing license, with the right to grant sublicenses, for certain Ionis’ background technology to use in up to eight therapeutic products discovered by the Company in the field of </w:t>
      </w:r>
      <w:r>
        <w:rPr>
          <w:rFonts w:ascii="Times New Roman" w:hAnsi="Times New Roman"/>
          <w:i/>
          <w:color w:val="000000"/>
          <w:sz w:val="20"/>
        </w:rPr>
        <w:t>in vivo</w:t>
      </w:r>
      <w:r>
        <w:rPr>
          <w:rFonts w:ascii="Times New Roman" w:hAnsi="Times New Roman"/>
          <w:color w:val="000000"/>
          <w:sz w:val="20"/>
        </w:rPr>
        <w:t xml:space="preserve"> genome editing and directed to a Collaboration Target (each such product, a “Metagenomi Product” and each such option an “Ionis IP Option”), but subject to encumbrance checks with respect to particular targets. A Collaboration Target is a target that is selected by Ionis, and, with respect to the Company is not the subject of discussions with a third party, is not the subject of a contractual grant of rights to a third party nor the subject to an internal research and development program. If the Company exercises its Ionis IP Option, the Company will pay to Ionis up to several million dollars per Metagenomi Product upon achievement of certain clinical and regulatory milestones. The Company is also obligated to pay Ionis royalties in an amount equal to a low single-digit royalty on the net sales of the applicable Metagenomi Product on a product-by-product and country-by-country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2022, the Company received an $80.0 million upfront payment from Ionis for the Wave 1 drug discovery research collaboration and selected Target 1. Ionis selected its second target (“Target 2”) in Wave 1 in December 2022, its third target (“Target 3”) in Wave 1 in November 2023, and its fourth target (“Target 4”) in Wave 1 in February 2024. Ionis has an option to select up to four Wave 2 targets at any time during the drug discovery term, if (a) an IND for any licensed product directed to a Wave 1 target is filed with the applicable regulatory authority or (b) the parties achieve enabled delivery for a non-liver target under the exploratory research activities, by providing written notice and by paying a Wave 2 target selection fee of $15.0 million or $30.0 million, depending on and per the selected target.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Ionis is obligated to reimburse the Company for all internal costs and out-of-pocket costs incurred in the performance of the exploratory research activities, up to an aggregate of $10.0 million, which is payable in quarterly installments of $0.5 million during the exploratory research term. As of March 31, 2026, the Company received a total of $6.5 million related to the reimbursable expenses. The Company is also eligible to receive (a) up to $29.0 million in future development milestone payments for each licensed product; (b) up to $60.0 million in future regulatory milestone payments for each licensed product; (c) up to $250.0 million in sales-based milestones for each licensed product; and (d) royalties on annual net sales of licensed products from a mid-single-digit to low-teens percentage, subject to customary reductions.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term of the Ionis Agreement will continue (i) with respect to the drug discovery programs, until the expiration of all applicable royalty terms for a licensed product, (ii) with respect to the Co-Co Programs, until the parties cease all exploitation for the Co-Co Products that are the subject to such Co-Co Program, and with respect to the Metagenomi Products, until the expiration of the royalty term for a Metagenomi Product. The royalty term ends on the latest of the following two dates: (i) the expiration of (A) the last claim of any issued and unexpired patent, or (B) a claim within a patent application that has not been pending for more than seven years from the earliest date to which the claim or applicable patent application is entitled to claim priority and which claim has not been revoked, canceled, withdrawn, held invalid, or abandoned, or (ii) 12 years following the first commercial sale of a licensed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Ionis Agreement may be terminated during the term by either party for an uncured material breach or bankruptcy by the other party. Additionally, Ionis may terminate the Ionis Agreement for convenience and without penalty, in its entirety or on a licensed product-by-licensed product basis, by providing 90 days’ written notice.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Accounting analysis and revenue recognition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concluded that the Ionis Agreement is in the scope of ASC 606 at the effective date and until the Company exercises its Co-Co Option for any drug discovery program, which was determined to not be probable at the effective date and as of March 31, 2026 and December 31, 2025. The Company also concluded that exclusive licenses and participation in a joint steering committee are not distinct from discovery research services and should thus be combined into one performance obligation (the “discovery program”). The Company also concluded that exploratory research services are a separate and distinct performance obligation (the “exploratory program”). The Ionis options for Wave 2 targets are optional purchases and do not have significant incremental discounts, as such, the options do not provide material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allocated the initial total estimated transaction price of $90.0 million, which consisted of an $80.0 million upfront payment received in November 2022 and $10.0 million in reimbursements for research costs, into two performance obligations, which was determined based on their estimated standalone selling prices. The Company concluded that future development and commercial supply agreements are at market terms, as the terms were consistent with industry standards as of the effective date. The Company constrains future milestone payments under the arrangement to the extent that the inclusion of such variable consideration could result in a significant reversal of cumulative revenue in future periods. The Company constrained all development and regulatory milestone payments at the effective date and as of March 31, 2026 and December 31, 2025. The Company is recognizing revenue of $80.0 million related to the discovery program and $10.0 million related to exploratory program over the research terms using an estimated cost-based input method as a measure of progress for each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2024, the Company included previously constrained estimated manufacturing costs in the transaction price, resulting in a $3.4 million increase to variable consideration. The Company recognized collaboration revenue of $1.2 million for the three months ended March 31, 2026, of which $0.3 million was included in deferred revenue as of December 31, 2025. The Company recognized collaboration revenue of $4.0 million for the three months ended March 31, 2025, of which $2.5 million was included in deferred revenue as of December 31, 2024. As of March 31, 2026 and December 31, 2025, deferred revenue related to the Ionis Agreement was $10.9 million and $11.7 million, respectively. As of March 31, 2026 and December 31, 2025, the accounts receivable balance was zero and $0.3 million, respectively. The value of the transaction price allocated to the remaining performance obligations was approximately $15.1 million as of March 31, 2026, which the Company expects to recognize as revenue over the next one to two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1, 2026, the parties modified the drug discovery plan for one of the Wave 1 targets to perform new research services, which will result in additional costs and extended timing for this program. The parties also agreed that the exploratory research plan obligation has been discontinued as of April 1, 2026, and that there will be no additional exploratory cost reimbursements. The Company expects to account for these changes as a contract modification under ASC 606 in the second quarter of 2026, when the modifications were approved. The Company is currently evaluating the quantitative impact of the modification, which may result in a one-time non-cash reversal of previously recognized revenue.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Acuitas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the Company entered into a Non-Exclusive License Agreement (the “Acuitas License Agreement”) with Acuitas Therapeutics, Inc. (“Acuitas”) pursuant to which Acuitas granted the Company a non-exclusive license to certain Acuitas lipid nanoparticle (“LNP”) technology, including LNP patents, formulation processes, and analytical characterization methods for manufacturing products that incorporate the Company's proprietary genome editing constructs formulated with Acuitas LNP technology, to research, develop, sell, and commercialize certain licensed products in connection with a single target.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Simultaneous with the execution of the Acuitas License Agreement, the Company was obligated to pay a licensing fee of $3.0 million. As the licensed products have not reached technological feasibility and have no alternate use, the licensing fee was recorded as research and development expense. Further, the Company is also obligated to pay Acuitas (i) a license maintenance fee in the low seven figures, payable on the one year anniversary of the effective date of the Acuitas License Agreement and each twelve month anniversary thereafter until such time as the first patient is dosed in a Phase 1 study for a licensed product under the Acuitas License Agreement; (ii) milestone payments in the low to mid seven figures upon certain regulatory and commercialization milestones; and (iii) royalties in the low mid-single digit percentage of net sales. The Company assessed the milestone and royalty events involving the Acuitas License Agreement and determined that no accruals related to such events were required as of March 31,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Acuitas License Agreement will remain in effect on a licensed product-by-licensed product and country-by-country basis until there are no outstanding royalty payments owed to Acuitas. Further, the Acuitas License Agreement may be terminated by either party for material breach or upon a party’s insolvency or bankruptcy, and Acuitas may immediately terminate in specified situations. Upon 30 days written notice, the Company has the right to terminate the Acuitas License Agreement at its discretion.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Affini-T development, option and license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was previously party to the Affini-T Agreement, entered into in June 2022. On September 30, 2025 (the “Termination Date”), the Company delivered to Affini-T a notice to terminate the Affini-T Agreement by and between the Company and Affini-T (the “Termination”), effective immediately, due to Affini-T’s making of an assignment for the benefit of creditors.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Termination, the parties agreed to identify, develop or optimize certain reagents using the Company’s proprietary technology for Affini-T to use such reagents to develop and commercialize gene edited T-cell receptor (“TCR”)-based therapeutic products exclusively in the field of treatment, prevention or diagnosis of any human cancer using products with any engineered primary TCR alpha/beta T cells and non-exclusively in the field of treatment, prevention or diagnosis of any human cancer using products with certain other engineered immune cells worldwide. </w:t>
      </w:r>
    </w:p>
    <w:p>
      <w:pPr>
        <w:pStyle w:val="TextBody"/>
        <w:bidi w:val="0"/>
        <w:spacing w:before="220" w:after="283"/>
        <w:jc w:val="left"/>
        <w:rPr>
          <w:rFonts w:ascii="Times New Roman" w:hAnsi="Times New Roman"/>
          <w:color w:val="000000"/>
          <w:sz w:val="20"/>
        </w:rPr>
      </w:pPr>
      <w:r>
        <w:rPr>
          <w:rFonts w:ascii="Times New Roman" w:hAnsi="Times New Roman"/>
          <w:color w:val="000000"/>
          <w:sz w:val="20"/>
        </w:rPr>
        <w:t>During the three months ended March 31, 2026 and 2025, the Company recognized zero and $0.2 million of collaboration revenue, respectively. As of March 31, 2026, there were no remaining unsatisfied performance obligations. As of March 31, 2026 and December 31, 2025, the accounts receivable balance, net of allowance for doubtful accounts, and deferred revenue balances were zero.</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8.</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Commitments and Contingencies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more information about the Company’s Operating Leases, see Note 8, “Commitments and Contingencies – Operating Leases” of the “Notes to Consolidated Financial Statements” included in Part II, Item 8 of its Annual Report on Form 10-K for the year ended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contingencies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On September 26, 2024, a class action complaint was filed in the U.S. District Court for the Northern District of California against the Company and certain of the Company’s officers and certain of its current and former directors, captioned </w:t>
      </w:r>
      <w:r>
        <w:rPr>
          <w:rFonts w:ascii="Times New Roman" w:hAnsi="Times New Roman"/>
          <w:i/>
          <w:color w:val="000000"/>
          <w:sz w:val="20"/>
        </w:rPr>
        <w:t>Vreeland v. Metagenomi Inc. et al.</w:t>
      </w:r>
      <w:r>
        <w:rPr>
          <w:rFonts w:ascii="Times New Roman" w:hAnsi="Times New Roman"/>
          <w:color w:val="000000"/>
          <w:sz w:val="20"/>
        </w:rPr>
        <w:t>, No. 5:24-cv-06765 (the “Securities Action”). On February 10, 2025, the court appointed Mingxi Bi as lead plaintiff. On April 4, 2025, the plaintiffs filed an amended complaint. The operative complaint in the Securities Action alleges violations of Section 11 of the Securities Act against all defendants and control person violations of Section 15 against the individuals. The Securities Action alleges that the defendants made misleading statements and omitted to disclose material information concerning the Company’s collaboration with Moderna in the Company’s registration statement and final prospectus materials filed in January 2024 and February 2024. The Securities Action seeks, among other things, compensatory damages as well as costs and expenses, including attorneys’ fees and expert fees. On May 16, 2025, all defendants filed a motion to dismiss the claims of the Securities Action. On March 24, 2026, the Court granted-in-part and denied-in-part defendants’ motion to dismiss. Defendants’ response to the operative complaint is due on May 27, 2026. The Company is currently unable to predict the outcome of this lawsuit and therefore cannot determine the likelihood of loss, if any, nor estimate a range of possible loss. The Company intends to defend vigorously against this litigation</w:t>
      </w:r>
      <w:r>
        <w:rPr>
          <w:rFonts w:ascii="Times New Roman" w:hAnsi="Times New Roman"/>
          <w:color w:val="000000"/>
          <w:sz w:val="24"/>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become involved in legal proceedings arising from the ordinary course of business. The Company records a liability for such matters when it is probable that future losses will be incurred and that such losses can be reasonably estimated. Significant judgment by the Company is required to determine both probability and the estimated amount. Other than the Securities Action, the Company is currently not aware of any legal matters that could have a material adverse effect on the Company’s financial position, results of operations or cash flows.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agreements that contain a variety of representations and provide for general indemnification. Its exposure under these agreements is unknown because it involves claims that may be made against the Company in the future. To the extent permitted under Delaware law, the Company has agreed to indemnify its directors and officers for certain events or occurrences while the director or officer is, or was serving, at a request in such capacity. To date, the Company has not paid any claims or been required to defend any action related to its indemnification obligations. As of March 31, 2026 and December 31, 2025, the Company did not have any material indemnification claims that were probable or reasonably possible and consequently has not recorded related liabilities.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amended and restated certificate of incorporation, as amended, authorizes the Company to issue 500,000,000 shares of common stock. Each share of common stock is entitled to cast one vote. The holders of common stock are also entitled to receive distributions whenever funds are legally available and when declared by the Company’s Board of Directors. No distributions have been declared from inception to date.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2019 Equity Incentive Plan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Prior to the 2024 Company reorganization, the Company granted profits interests under the 2019 Equity Incentive Plan, adopted on March 13, 2019 (the “2019 Plan”). The Company granted profits interests with a threshold amount established by the Board of Managers of the Company’s predecessor, Metagenomi LLC, on the date of issuance. The 2019 Plan allowed for grants of profits interests to the Company’s officers, employees, directors and consultants. Immediately after the reorganization, all of the outstanding profits interest units were exchanged for shares of common stock, including shares subject to certain vesting conditions. The following table presents a summary of the unvested common stock activity:</w:t>
      </w:r>
    </w:p>
    <w:tbl>
      <w:tblPr>
        <w:tblW w:w="6896" w:type="dxa"/>
        <w:jc w:val="left"/>
        <w:tblInd w:w="0" w:type="dxa"/>
        <w:tblLayout w:type="fixed"/>
        <w:tblCellMar>
          <w:top w:w="28" w:type="dxa"/>
          <w:left w:w="28" w:type="dxa"/>
          <w:bottom w:w="28" w:type="dxa"/>
          <w:right w:w="28" w:type="dxa"/>
        </w:tblCellMar>
      </w:tblPr>
      <w:tblGrid>
        <w:gridCol w:w="3166"/>
        <w:gridCol w:w="146"/>
        <w:gridCol w:w="233"/>
        <w:gridCol w:w="1177"/>
        <w:gridCol w:w="166"/>
        <w:gridCol w:w="146"/>
        <w:gridCol w:w="396"/>
        <w:gridCol w:w="1075"/>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Unvested 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2024 Stock Option and Incentive Plan</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Stock Option Activity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a summary of the stock option activity:</w:t>
      </w:r>
    </w:p>
    <w:tbl>
      <w:tblPr>
        <w:tblW w:w="6940" w:type="dxa"/>
        <w:jc w:val="left"/>
        <w:tblInd w:w="0" w:type="dxa"/>
        <w:tblLayout w:type="fixed"/>
        <w:tblCellMar>
          <w:top w:w="28" w:type="dxa"/>
          <w:left w:w="28" w:type="dxa"/>
          <w:bottom w:w="28" w:type="dxa"/>
          <w:right w:w="28" w:type="dxa"/>
        </w:tblCellMar>
      </w:tblPr>
      <w:tblGrid>
        <w:gridCol w:w="3166"/>
        <w:gridCol w:w="146"/>
        <w:gridCol w:w="191"/>
        <w:gridCol w:w="1219"/>
        <w:gridCol w:w="166"/>
        <w:gridCol w:w="146"/>
        <w:gridCol w:w="472"/>
        <w:gridCol w:w="104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Stock 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Weighted-Average </w:t>
              <w:br/>
              <w:t>Exercise Price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3,960,489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1,255,977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Restricted Stock Unit Activity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a summary of the restricted stock unit activity:</w:t>
      </w:r>
    </w:p>
    <w:tbl>
      <w:tblPr>
        <w:tblW w:w="6563" w:type="dxa"/>
        <w:jc w:val="left"/>
        <w:tblInd w:w="0" w:type="dxa"/>
        <w:tblLayout w:type="fixed"/>
        <w:tblCellMar>
          <w:top w:w="28" w:type="dxa"/>
          <w:left w:w="28" w:type="dxa"/>
          <w:bottom w:w="28" w:type="dxa"/>
          <w:right w:w="28" w:type="dxa"/>
        </w:tblCellMar>
      </w:tblPr>
      <w:tblGrid>
        <w:gridCol w:w="3166"/>
        <w:gridCol w:w="146"/>
        <w:gridCol w:w="146"/>
        <w:gridCol w:w="931"/>
        <w:gridCol w:w="166"/>
        <w:gridCol w:w="146"/>
        <w:gridCol w:w="458"/>
        <w:gridCol w:w="1013"/>
        <w:gridCol w:w="3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2,202,441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Compensation Expense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classification of stock-based compensation expense for the periods presented (in thousands):</w:t>
      </w:r>
    </w:p>
    <w:tbl>
      <w:tblPr>
        <w:tblW w:w="5284" w:type="dxa"/>
        <w:jc w:val="left"/>
        <w:tblInd w:w="0" w:type="dxa"/>
        <w:tblLayout w:type="fixed"/>
        <w:tblCellMar>
          <w:top w:w="28" w:type="dxa"/>
          <w:left w:w="28" w:type="dxa"/>
          <w:bottom w:w="28" w:type="dxa"/>
          <w:right w:w="28" w:type="dxa"/>
        </w:tblCellMar>
      </w:tblPr>
      <w:tblGrid>
        <w:gridCol w:w="3091"/>
        <w:gridCol w:w="146"/>
        <w:gridCol w:w="211"/>
        <w:gridCol w:w="571"/>
        <w:gridCol w:w="146"/>
        <w:gridCol w:w="146"/>
        <w:gridCol w:w="211"/>
        <w:gridCol w:w="57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there was $2.5 million of unrecognized compensation expense related to restricted stock awards that is expected to be recognized over a weighted-average period of 0.8 years, $8.4 million of unrecognized compensation expense related to stock options that is expected to be recognized over a weighted-average period of 2.4 years and $4.3 million of unrecognized compensation expense related to restricted stock units that is expected to be recognized over a weighted-average period of 1.9 years.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Segment Information</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The Company operates and manages its business as one operating and reportable segment, which is the business of developing curative therapeutics for patients using the Company’s proprietary, comprehensive metagenomics-derived genome editing toolbox. All of the Company’s long-lived assets are located in the U.S. All revenue presented relate to contracts with customers located in the U.S. The chief executive officer, who is the chief operating decision maker (CODM), reviews financial information on a basis for purposes of evaluating financial performance, making operating decisions, allocating resources and planning and forecasting for future periods. The CODM assesses performance and decides how to allocate resources based on net loss. This measure is used to monitor budget versus actual results to evaluate the performance of the segment.</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 presents the results of operations that are provided to the Company’s CODM for the periods presented (in thousands).</w:t>
      </w:r>
    </w:p>
    <w:tbl>
      <w:tblPr>
        <w:tblW w:w="6863" w:type="dxa"/>
        <w:jc w:val="left"/>
        <w:tblInd w:w="0" w:type="dxa"/>
        <w:tblLayout w:type="fixed"/>
        <w:tblCellMar>
          <w:top w:w="28" w:type="dxa"/>
          <w:left w:w="28" w:type="dxa"/>
          <w:bottom w:w="28" w:type="dxa"/>
          <w:right w:w="28" w:type="dxa"/>
        </w:tblCellMar>
      </w:tblPr>
      <w:tblGrid>
        <w:gridCol w:w="4266"/>
        <w:gridCol w:w="211"/>
        <w:gridCol w:w="736"/>
        <w:gridCol w:w="166"/>
        <w:gridCol w:w="146"/>
        <w:gridCol w:w="211"/>
        <w:gridCol w:w="736"/>
        <w:gridCol w:w="391"/>
      </w:tblGrid>
      <w:tr>
        <w:trPr/>
        <w:tc>
          <w:tcPr>
            <w:tcW w:w="42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Ionis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Affini-T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collaboration revenue</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w:t>
            </w:r>
          </w:p>
        </w:tc>
        <w:tc>
          <w:tcPr>
            <w:tcW w:w="3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Employee-related expenses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overhead costs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services and consulting</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supplies and services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and other</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12.</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Basic and diluted net loss per share attributable to common stockholders is calculated as follows (in thousands except share and per share amounts):</w:t>
      </w:r>
    </w:p>
    <w:tbl>
      <w:tblPr>
        <w:tblW w:w="9514" w:type="dxa"/>
        <w:jc w:val="left"/>
        <w:tblInd w:w="0" w:type="dxa"/>
        <w:tblLayout w:type="fixed"/>
        <w:tblCellMar>
          <w:top w:w="28" w:type="dxa"/>
          <w:left w:w="28" w:type="dxa"/>
          <w:bottom w:w="28" w:type="dxa"/>
          <w:right w:w="28" w:type="dxa"/>
        </w:tblCellMar>
      </w:tblPr>
      <w:tblGrid>
        <w:gridCol w:w="6151"/>
        <w:gridCol w:w="146"/>
        <w:gridCol w:w="211"/>
        <w:gridCol w:w="1036"/>
        <w:gridCol w:w="166"/>
        <w:gridCol w:w="146"/>
        <w:gridCol w:w="211"/>
        <w:gridCol w:w="1036"/>
        <w:gridCol w:w="411"/>
      </w:tblGrid>
      <w:tr>
        <w:trPr/>
        <w:tc>
          <w:tcPr>
            <w:tcW w:w="6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37,628,181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37,387,580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Weighted-average unvested shares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common shares outstanding—basic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37,581,094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37,019,027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120"/>
        <w:jc w:val="left"/>
        <w:rPr>
          <w:rFonts w:ascii="Times New Roman" w:hAnsi="Times New Roman"/>
          <w:sz w:val="20"/>
        </w:rPr>
      </w:pPr>
      <w:r>
        <w:rPr>
          <w:rFonts w:ascii="Times New Roman" w:hAnsi="Times New Roman"/>
          <w:color w:val="000000"/>
          <w:sz w:val="20"/>
        </w:rPr>
        <w:t xml:space="preserve">The </w:t>
      </w:r>
      <w:r>
        <w:rPr>
          <w:rFonts w:ascii="Times New Roman" w:hAnsi="Times New Roman"/>
          <w:color w:val="231F20"/>
          <w:sz w:val="20"/>
        </w:rPr>
        <w:t>following outstanding potentially dilutive securities have been excluded from the calculation of diluted net loss per share, as their effect would have been anti-dilutive:</w:t>
      </w:r>
    </w:p>
    <w:tbl>
      <w:tblPr>
        <w:tblW w:w="6419" w:type="dxa"/>
        <w:jc w:val="left"/>
        <w:tblInd w:w="0" w:type="dxa"/>
        <w:tblLayout w:type="fixed"/>
        <w:tblCellMar>
          <w:top w:w="28" w:type="dxa"/>
          <w:left w:w="28" w:type="dxa"/>
          <w:bottom w:w="28" w:type="dxa"/>
          <w:right w:w="28" w:type="dxa"/>
        </w:tblCellMar>
      </w:tblPr>
      <w:tblGrid>
        <w:gridCol w:w="3436"/>
        <w:gridCol w:w="146"/>
        <w:gridCol w:w="146"/>
        <w:gridCol w:w="931"/>
        <w:gridCol w:w="146"/>
        <w:gridCol w:w="146"/>
        <w:gridCol w:w="146"/>
        <w:gridCol w:w="931"/>
        <w:gridCol w:w="39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3,714,546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3,333,937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2,202,441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429,072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subject to future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6,018,797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4,077,668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9" w:name="item_2_managements_discussion"/>
      <w:bookmarkEnd w:id="9"/>
      <w:r>
        <w:rPr>
          <w:rFonts w:ascii="Times New Roman" w:hAnsi="Times New Roman"/>
          <w:b/>
          <w:color w:val="000000"/>
          <w:sz w:val="20"/>
        </w:rPr>
        <w:t>Item 2.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financial statements and the related notes thereto included elsewhere in this Quarterly Report on Form 10-Q and our audited consolidated financial statements and notes and Management’s Discussion and Analysis of Financial Condition and Results of Operations, included in our Annual Report on Form 10-K for the year ended December 31, 2025, filed with the SEC on March 5, 2026. As discussed in the section titled “Special Note Regarding Forward-Looking Statements,” the following discussion and analysis contains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under Part II, Item 1A below.</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in vivo genome editing company capitalizing on our proprietary technologies to create curative genetic medicines for patients. We were founded on the science of metagenomics, the study of genetic materials recovered from the natural environment, to discover and develop a suite of novel CRISPR gene-editing tools potentially capable of correcting any type of genetic mutation found anywhere in the human genome. We leverage machine learning and artificial intelligence to enhance our signature gene-editing systems. In late 2025, we made the decision to strategically reprioritize our pipeline and discovery efforts to focus our resources on driving forward our lead programs that utilize our most advanced, signature gene-editing capabilities with the highest probability of success while maintaining financial discipline to drive sustainable growth and long-term value. We increased our focus on high-value programs in disease indications with well-understood biology and clearly defined clinical development and regulatory pathways to accelerate programs with the potential to deliver therapeutic benefits of gene-editing to patients.</w:t>
      </w:r>
    </w:p>
    <w:p>
      <w:pPr>
        <w:pStyle w:val="TextBody"/>
        <w:bidi w:val="0"/>
        <w:spacing w:before="240" w:after="283"/>
        <w:jc w:val="left"/>
        <w:rPr>
          <w:rFonts w:ascii="Times New Roman" w:hAnsi="Times New Roman"/>
          <w:sz w:val="20"/>
        </w:rPr>
      </w:pPr>
      <w:r>
        <w:rPr>
          <w:rFonts w:ascii="Times New Roman" w:hAnsi="Times New Roman"/>
          <w:b/>
          <w:color w:val="000000"/>
          <w:sz w:val="20"/>
        </w:rPr>
        <w:t>Wholly Owned Programs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MGX-001 – Novel, Durable, Site-Specific Genome Integration for Expression of Factor VIII (FVIII)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MGX-001 is designed to provide curative, life-long protection from bleeding events and joint damage in adults and children from a single administration, potentially enabling a new standard of care for the treatment of hemophilia A. MGX-001 is designed to insert a Factor VIII (“FVIII”) gene cassette into a “safe harbor location” within an intron of the albumin gene, leveraging the strong native albumin promoter to express FVIII.</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we announced preclinical data from a dose range finding study of MGX-001 in non-human primates (“NHPs”), where MGX-001 demonstrated curative FVIII activity with best-in-class treatment potential. The data also demonstrated clear dose dependency across both the AAV and LNP components of MGX-001, informing our clinical dose-regimen strategy. This data builds upon an earlier study, where we demonstrated durable FVIII activity over an approximately 19-month study in NHPs, with an encouraging safety profile. MGX-001 has also shown no detectable off-target editing in a series of orthogonal assays employed to discover and validate potential off-target sites.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fourth quarter of 2025, we completed a pre-IND meeting for the development of MGX-001. We remain on track for regulatory submission to advance a global clinical program, including an investigational new drug application (“IND”) in the fourth quarter of 2026, and subject to regulatory clearance, initiate clinical trials in 2027.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MGX-001 Large Gene Integration System for Protein Replacement via Gene Insertion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Leveraging the MGX-001 site-specific genome integration system, we are pursuing disease indications which have the potential to be treated by protein replacement via gene insertion. In late 2025, we demonstrated the curative potential of the MGX-001 large gene integration system in a secreted protein disorder, antithrombin III (“AT-III”) deficiency, in an in vivo study in NHPs.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Ionis Collaboration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2022, we entered into a Collaboration and License Agreement with Ionis Pharmaceuticals, Inc. (“Ionis”) to research, develop and commercialize investigational medicines using our genome editing technologies. We are currently in Wave 1 of our collaboration with Ionis focused on four disease targets in cardiometabolic indications. In December 2025, we announced apolipoprotein C-III (“APOC3”) for the treatment of high triglycerides (“HTG”) as the third collaboration target in Wave 1, and we jointly presented NHP preclinical data at the Nature Conference, “Cracking the Code: Nucleic Acid Medicines Coming of Age.” Additional targets in Wave 1 include transthyretin (“TTR”) for transthyretin amyloidosis, angiotensinogen (“AGT”) for refractory hypertension, and one undisclosed program. All four targets in Wave 1 are in the lead optimization phase of development and are designed to achieve protein reduction via gene knockout.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ATM Program</w:t>
      </w:r>
    </w:p>
    <w:p>
      <w:pPr>
        <w:pStyle w:val="TextBody"/>
        <w:bidi w:val="0"/>
        <w:spacing w:before="120" w:after="283"/>
        <w:jc w:val="left"/>
        <w:rPr>
          <w:rFonts w:ascii="Times New Roman" w:hAnsi="Times New Roman"/>
          <w:sz w:val="20"/>
        </w:rPr>
      </w:pPr>
      <w:r>
        <w:rPr>
          <w:rFonts w:ascii="Times New Roman" w:hAnsi="Times New Roman"/>
          <w:color w:val="000000"/>
          <w:sz w:val="20"/>
        </w:rPr>
        <w:t>On March 17, 2025, we entered into an Open Market Sale Agreement</w:t>
      </w:r>
      <w:r>
        <w:rPr>
          <w:rFonts w:ascii="Times New Roman" w:hAnsi="Times New Roman"/>
          <w:color w:val="000000"/>
          <w:sz w:val="13"/>
        </w:rPr>
        <w:t>SM</w:t>
      </w:r>
      <w:r>
        <w:rPr>
          <w:rFonts w:ascii="Times New Roman" w:hAnsi="Times New Roman"/>
          <w:color w:val="000000"/>
          <w:sz w:val="20"/>
        </w:rPr>
        <w:t xml:space="preserve"> (the “ATM Sales Agreement”) with Jefferies LLC (“Jefferies”), pursuant to which we may issue and sell, from time to time and at our sole discretion, shares of our common stock, through Jefferies as the sales agent, by any method permitted by law deemed to be an “at the market” (“ATM”) offering as defined in Rule 415(a)(4) promulgated under the Securities Act, having an aggregate offering price of up to $75.0 million. We will pay Jefferies a commission fee of up to 3.0% of the gross proceeds of any shares sold through Jefferies under the ATM Sales Agreement, and have also provided Jefferies with customary indemnification and contribution rights. As of March 31, 2026, no shares have been sold under the ATM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our inception, we have devoted substantially all of our resources to organizing and staffing our company, business planning, raising capital, research and development activities, building our intellectual property portfolio and providing general and administrative support for these operations. We have historically financed our operations primarily through issuing redeemable convertible preferred stock and convertible promissory notes, sales of our common stock and entering into collaboration agreements.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Macroeconomic Trends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conditions in the economy in the United States (“U.S.”) and abroad may negatively affect the growth of our business and our results of operations. For example, macroeconomic events, including, inflationary pressures, interest rate and currency rate fluctuations, increased U.S. trade tariffs, reciprocal and retaliatory tariffs from other countries, and trade disputes with other countries, new laws and regulations enacted by the Trump administration, including, but not limited to, the One Big Beautiful Bill Act (the “OBBBA”), economic slowdown or recession, banking instability, monetary policy changes, geopolitical tensions or the outbreak of hostilities or war, including from the ongoing Russia-Ukraine conflict, the current conflicts in Iran and the Middle East (including any escalation or expansion), the current conflict in Venezuela and increasing tensions between China and Taiwan, have led to economic uncertainty and volatility globally. The effect of macroeconomic conditions may not be fully reflected in our results of operations until future periods. To date, the macroeconomic trends discussed above have not had a material adverse impact on our business, financial condition or results of operations, but we continue to monitor these developments closely. If, however, economic uncertainty increases or the global economy worsens, our business, financial condition and results of operations may be harmed. For further discussion of the potential impacts of macroeconomic events on our business, financial condition, and operating results, refer to the section titled “Risk Factors” included elsewhere in this Quarterly Report on Form 10-Q.</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Collaboration and License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strategy, we have entered into license and collaboration agreements with third parties for one or more of our programs or product candidates we may develop. For example, in September 2025, we entered into the Acuitas License Agreement to license certain Acuitas LNP technology, including LNP patents, formulation processes, and analytical characterization methods for manufacturing products that incorporate our company's proprietary genome editing constructs formulated with Acuitas LNP technology, to research, develop, sell, and commercialize certain licensed products in connection with a single target. In November 2022, we entered into a Collaboration and License Agreement with Ionis to research, develop and commercialize investigational medicines using our genome editing technologies. Refer to Note 7, “Significant Agreements,” in our condensed financial statements included elsewhere in this Quarterly Report on Form 10-Q for additional information related to the terms of the agreements between us and our collaborators.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Collaboration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not generated any revenue from product sales and do not expect to generate any revenue from the sale of products for the foreseeable future. Our ability to generate product revenues will depend on the successful development and eventual commercialization of any product candidates that we identify. If we fail to complete the development of any future product candidates in a timely manner or to obtain regulatory approval for such product candidates, our ability to generate future revenue and our results of operations and financial position would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date, all of our revenue consists of collaboration revenue, earned from collaboration agreements with Ionis, Moderna (prior to the termination of the Moderna Agreement) and Affini-T (prior to the termination of the Affini-T Agreement). These agreements may include the following types of promised goods or services: (i) grants of licenses; (ii) performance of research and development services and (iii) participation on joint research and/or development committees. They also may include options to obtain licenses to our intellectual property or to extend the term of the research activities. Our revenues under such collaboration agreements were $1.2 million for the three months ended March 31, 2026, and $4.1 million for the three months ended March 31, 2025.</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information about our revenue recognition policy related to our collaboration agreements, refer to Note 2, “Summary of Significant Accounting Policies” in our consolidated financial statements included in Part II, Item 8 of our Annual Report on Form 10-K for the year ended December 31, 2025.</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Research and Development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largest component of our total operating expenses since our inception has been research and development activities. Research and development expenses consist primarily of personnel costs for research and development employees, including stock-based compensation; research and development supplies and services; manufacturing process development costs; the research and development expenses that we share with our collaboration partners for co-development programs; other outside services and consulting costs; and allocated facilities, information technology and overhead expenses. Research and development costs are expensed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reported program costs since our inception because we have not historically tracked or recorded our research and development expenses on a program-by-program basis. We use our personnel and infrastructure resources across the breadth of our research and development activities, which are directed toward developing our platform.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our research and development expenses will increase substantially as we advance our programs through their planned preclinical and clinical development.</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 costs, including stock-based compensation expense, and other expenses for outside professional services, including legal fees relating to intellectual property and corporate matters; professional fees for accounting, auditing, consulting and tax services; insurance costs; administrative travel expenses; website development costs; marketing and public relations costs; and facilities, information technology and other allocated overhead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increase in the future to support our increased research and development activities. We also expect to continue to incur costs associated with being a public company and maintaining controls over financial reporting, including costs of accounting, audit, legal, regulatory and tax-related services associated with maintaining compliance with Nasdaq and SEC requirements, director and officer insurance costs, and investor and public relations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Total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other income, net, includes interest income from our investments in available-for-sale marketable securities.</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Results of Operations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Comparison of the Three Months Ended March 31, 2026 and 2025</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 summarizes our results of operations for the periods indicated (in thousands):</w:t>
      </w:r>
    </w:p>
    <w:tbl>
      <w:tblPr>
        <w:tblW w:w="7643" w:type="dxa"/>
        <w:jc w:val="left"/>
        <w:tblInd w:w="0" w:type="dxa"/>
        <w:tblLayout w:type="fixed"/>
        <w:tblCellMar>
          <w:top w:w="28" w:type="dxa"/>
          <w:left w:w="28" w:type="dxa"/>
          <w:bottom w:w="28" w:type="dxa"/>
          <w:right w:w="28" w:type="dxa"/>
        </w:tblCellMar>
      </w:tblPr>
      <w:tblGrid>
        <w:gridCol w:w="3526"/>
        <w:gridCol w:w="146"/>
        <w:gridCol w:w="211"/>
        <w:gridCol w:w="736"/>
        <w:gridCol w:w="166"/>
        <w:gridCol w:w="146"/>
        <w:gridCol w:w="211"/>
        <w:gridCol w:w="736"/>
        <w:gridCol w:w="166"/>
        <w:gridCol w:w="146"/>
        <w:gridCol w:w="211"/>
        <w:gridCol w:w="631"/>
        <w:gridCol w:w="61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Collaboration Revenue</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Collaboration revenue included the following for the periods indicated (in thousands):</w:t>
      </w:r>
    </w:p>
    <w:tbl>
      <w:tblPr>
        <w:tblW w:w="6133" w:type="dxa"/>
        <w:jc w:val="left"/>
        <w:tblInd w:w="0" w:type="dxa"/>
        <w:tblLayout w:type="fixed"/>
        <w:tblCellMar>
          <w:top w:w="28" w:type="dxa"/>
          <w:left w:w="28" w:type="dxa"/>
          <w:bottom w:w="28" w:type="dxa"/>
          <w:right w:w="28" w:type="dxa"/>
        </w:tblCellMar>
      </w:tblPr>
      <w:tblGrid>
        <w:gridCol w:w="2586"/>
        <w:gridCol w:w="146"/>
        <w:gridCol w:w="211"/>
        <w:gridCol w:w="571"/>
        <w:gridCol w:w="146"/>
        <w:gridCol w:w="146"/>
        <w:gridCol w:w="211"/>
        <w:gridCol w:w="571"/>
        <w:gridCol w:w="146"/>
        <w:gridCol w:w="146"/>
        <w:gridCol w:w="211"/>
        <w:gridCol w:w="631"/>
        <w:gridCol w:w="411"/>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Ionis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Affini-T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(2,879</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231F20"/>
          <w:sz w:val="20"/>
        </w:rPr>
      </w:pPr>
      <w:r>
        <w:rPr>
          <w:rFonts w:ascii="Times New Roman" w:hAnsi="Times New Roman"/>
          <w:color w:val="231F20"/>
          <w:sz w:val="20"/>
        </w:rPr>
        <w:t>Collaboration revenue decreased $2.9 million for the three months ended March 31, 2026, as compared to the corresponding prior year period, due to decreases of $2.7 million in revenue related to the Ionis Agreement and $0.2 million in revenue related to the Affini-T Agreement.</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Research and Development Expenses</w:t>
      </w:r>
    </w:p>
    <w:p>
      <w:pPr>
        <w:pStyle w:val="TextBody"/>
        <w:bidi w:val="0"/>
        <w:spacing w:before="120" w:after="120"/>
        <w:jc w:val="left"/>
        <w:rPr>
          <w:rFonts w:ascii="Times New Roman" w:hAnsi="Times New Roman"/>
          <w:color w:val="231F20"/>
          <w:sz w:val="20"/>
        </w:rPr>
      </w:pPr>
      <w:r>
        <w:rPr>
          <w:rFonts w:ascii="Times New Roman" w:hAnsi="Times New Roman"/>
          <w:color w:val="231F20"/>
          <w:sz w:val="20"/>
        </w:rPr>
        <w:t>The following table summarizes our research and development expenses for the periods indicated (in thousands):</w:t>
      </w:r>
    </w:p>
    <w:tbl>
      <w:tblPr>
        <w:tblW w:w="7823" w:type="dxa"/>
        <w:jc w:val="left"/>
        <w:tblInd w:w="0" w:type="dxa"/>
        <w:tblLayout w:type="fixed"/>
        <w:tblCellMar>
          <w:top w:w="28" w:type="dxa"/>
          <w:left w:w="28" w:type="dxa"/>
          <w:bottom w:w="28" w:type="dxa"/>
          <w:right w:w="28" w:type="dxa"/>
        </w:tblCellMar>
      </w:tblPr>
      <w:tblGrid>
        <w:gridCol w:w="4066"/>
        <w:gridCol w:w="146"/>
        <w:gridCol w:w="211"/>
        <w:gridCol w:w="676"/>
        <w:gridCol w:w="146"/>
        <w:gridCol w:w="146"/>
        <w:gridCol w:w="211"/>
        <w:gridCol w:w="676"/>
        <w:gridCol w:w="146"/>
        <w:gridCol w:w="146"/>
        <w:gridCol w:w="211"/>
        <w:gridCol w:w="631"/>
        <w:gridCol w:w="411"/>
      </w:tblGrid>
      <w:tr>
        <w:trPr/>
        <w:tc>
          <w:tcPr>
            <w:tcW w:w="4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overhead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 and consulting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supplies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Research and development expenses decreased $5.8 million for the </w:t>
      </w:r>
      <w:r>
        <w:rPr>
          <w:rFonts w:ascii="Times New Roman" w:hAnsi="Times New Roman"/>
          <w:color w:val="231F20"/>
          <w:sz w:val="20"/>
        </w:rPr>
        <w:t>three months ended March 31, 2026</w:t>
      </w:r>
      <w:r>
        <w:rPr>
          <w:rFonts w:ascii="Times New Roman" w:hAnsi="Times New Roman"/>
          <w:color w:val="000000"/>
          <w:sz w:val="20"/>
        </w:rPr>
        <w:t xml:space="preserve">, </w:t>
      </w:r>
      <w:r>
        <w:rPr>
          <w:rFonts w:ascii="Times New Roman" w:hAnsi="Times New Roman"/>
          <w:color w:val="231F20"/>
          <w:sz w:val="20"/>
        </w:rPr>
        <w:t xml:space="preserve">as compared to the corresponding prior year period, </w:t>
      </w:r>
      <w:r>
        <w:rPr>
          <w:rFonts w:ascii="Times New Roman" w:hAnsi="Times New Roman"/>
          <w:color w:val="000000"/>
          <w:sz w:val="20"/>
        </w:rPr>
        <w:t>primarily due to decreases of $3.3 million in employee-related expenses, $1.1 million in research and development supplies and services, $0.9 million in facilities and overhead costs and $0.4 million in stock-based compensation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General and administrative expenses decreased $0.3 million for the </w:t>
      </w:r>
      <w:r>
        <w:rPr>
          <w:rFonts w:ascii="Times New Roman" w:hAnsi="Times New Roman"/>
          <w:color w:val="231F20"/>
          <w:sz w:val="20"/>
        </w:rPr>
        <w:t>three months ended March 31, 2026</w:t>
      </w:r>
      <w:r>
        <w:rPr>
          <w:rFonts w:ascii="Times New Roman" w:hAnsi="Times New Roman"/>
          <w:color w:val="000000"/>
          <w:sz w:val="20"/>
        </w:rPr>
        <w:t xml:space="preserve">, </w:t>
      </w:r>
      <w:r>
        <w:rPr>
          <w:rFonts w:ascii="Times New Roman" w:hAnsi="Times New Roman"/>
          <w:color w:val="231F20"/>
          <w:sz w:val="20"/>
        </w:rPr>
        <w:t xml:space="preserve">as compared to the corresponding prior year period, </w:t>
      </w:r>
      <w:r>
        <w:rPr>
          <w:rFonts w:ascii="Times New Roman" w:hAnsi="Times New Roman"/>
          <w:color w:val="000000"/>
          <w:sz w:val="20"/>
        </w:rPr>
        <w:t>primarily related to a decrease of $0.4 million in employee-related expenses, partially offset by an increase of $0.2 million in professional services and consulting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Total Other Income (Expense), Net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Total other income (expense), net decreased $1.3 million for the </w:t>
      </w:r>
      <w:r>
        <w:rPr>
          <w:rFonts w:ascii="Times New Roman" w:hAnsi="Times New Roman"/>
          <w:color w:val="231F20"/>
          <w:sz w:val="20"/>
        </w:rPr>
        <w:t>three months ended March 31, 2026</w:t>
      </w:r>
      <w:r>
        <w:rPr>
          <w:rFonts w:ascii="Times New Roman" w:hAnsi="Times New Roman"/>
          <w:color w:val="000000"/>
          <w:sz w:val="20"/>
        </w:rPr>
        <w:t xml:space="preserve">, </w:t>
      </w:r>
      <w:r>
        <w:rPr>
          <w:rFonts w:ascii="Times New Roman" w:hAnsi="Times New Roman"/>
          <w:color w:val="231F20"/>
          <w:sz w:val="20"/>
        </w:rPr>
        <w:t xml:space="preserve">as compared to the corresponding prior year period, </w:t>
      </w:r>
      <w:r>
        <w:rPr>
          <w:rFonts w:ascii="Times New Roman" w:hAnsi="Times New Roman"/>
          <w:color w:val="000000"/>
          <w:sz w:val="20"/>
        </w:rPr>
        <w:t>primarily related to a decrease of $1.3 million in interest income.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historically funded our operations primarily through sales of our redeemable convertible preferred units and convertible promissory notes, which generated approximately $351.7 million in aggregate gross proceeds, in addition to net proceeds of approximately $80.7 million received in February 2024 upon the closing of our initial public offering. Additionally, through March 31, 2026, we received approximately $120.0 million in upfront cash payments from collaboration and licensing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17, 2025, we entered into the ATM Sales Agreement with Jefferies, pursuant to which we may issue and sell shares of our common stock from time to time and at our sole discretion, through Jefferies as our sales agent, by any method permitted that is deemed to be an “at the market offering” as defined in Rule 415(a)(4) promulgated under the Securities Act having an aggregate offering price of up to $75.0 million. As of March 31, 2026, we have not sold any shares under the ATM Sales Agreement.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revenue to date has been generated from collaboration agreements. We will not generate revenue from product sales unless and until we successfully initiate and complete clinical development and obtain regulatory approval for one or more product candidates. If we obtain regulatory approval for any product candidate and do not enter into a commercialization partnership, we expect to incur significant expenses related to developing our commercialization capability to support product sales, manufacturing, marketing, and distribution. As a result, we will need substantial additional funding to support our continuing operations and pursue our growth strategy. Until such time as we can generate significant revenue from product sales, if ever, we expect to finance our operations through a combination of equity offerings, debt financings, collaborations, strategic alliances, and marketing, distribution or licensing arrangements with third parties.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our platform or delay our pursuit of potential in-licenses or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operating losses since inception and we expect to continue to incur substantial losses for the foreseeable future. Our net losses were $87.9 million and $78.1 million for the years ended December 31, 2025 and 2024, respectively, and $23.1 million and $25.0 million for the three months ended March 31, 2026 and 2025, respectively. As of March 31, 2026, we had an accumulated deficit of $333.9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our short and long-term expenses to increase substantially in connection with our ongoing activities, particularly as we advance our portfolio towards candidate nomination and preclinical trials. In addition, we expect to incur additional costs associated with operating as a public company. The timing and amount of our operating expenditures will depend largely 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research and development,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scope and duration of clinical trials required for regulatory approval of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any of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manufacturing clinical and commercial supplies of our future product candidates, including internal manufacturing facilities and contracting with other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future product candidates for which we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filing and prosecuting our patent applications, and maintaining and enforcing our patents and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to acquire or in-license product candidates, intellectual property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liability or other lawsuits related to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implementation of various computerized informational systems and efforts to enhance operational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to attract, hire and retain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additional costs of legal, audit, accounting, compliance, insurance, investor relations and other expenses related to operating as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 commercially viable pricing structure and obtain approval for coverage and adequate reimbursement from third-party and government payers;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and technologies;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health epidemics, pandemics and other widespread outbreaks of contagious disease, as well as other factors, including inflation, economic uncertainty and geopolitical tensions, which may exacerbate the magnitude of the factors discussed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we had $140.2 million in cash, cash equivalents and available-for-sale marketable securities. Based on our current operating plan, we estimate that our existing cash, cash equivalents and available-for-sale marketable securities will be sufficient to fund our projected operating expenses and capital expenditure requirements for at least the next 12 months from the date of issuance of this Quarterly Report on Form 10-Q. We have based this estimate on assumptions that may prove to be wrong, and we could exhaust our available capital resources sooner than we expect. See “Liquidity and Capital Resources” and “Risk Factors—Risks Related To Our Financial Position and Need for Additional Capital.” We expect that we will require additional funding to: continue our current research development activities; develop, maintain, expand and protect our intellectual property portfolio; further develop our platform; and hire additional research, clinical and scientific personnel. If we receive regulatory approval for any of our product candidates, we expect to incur significant commercialization expenses related to product manufacturing, sales, marketing and distribution, depending on where we choose to commercialize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short and long-term cash needs through a combination of equity offerings, debt financings, collaborations, strategic alliances, and marketing, distribution or licensing arrangements with third parties. To the extent that we raise additional capital through the sale of equity or convertible debt securities, ownership interest for existing investors may be materially diluted, and the terms of such securities could include liquidation or other preferences that adversely affect existing investors’ rights as a stockholder.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sources and uses of cash for the periods presented (in thousands):</w:t>
      </w:r>
    </w:p>
    <w:tbl>
      <w:tblPr>
        <w:tblW w:w="8129" w:type="dxa"/>
        <w:jc w:val="left"/>
        <w:tblInd w:w="0" w:type="dxa"/>
        <w:tblLayout w:type="fixed"/>
        <w:tblCellMar>
          <w:top w:w="28" w:type="dxa"/>
          <w:left w:w="28" w:type="dxa"/>
          <w:bottom w:w="28" w:type="dxa"/>
          <w:right w:w="28" w:type="dxa"/>
        </w:tblCellMar>
      </w:tblPr>
      <w:tblGrid>
        <w:gridCol w:w="5566"/>
        <w:gridCol w:w="146"/>
        <w:gridCol w:w="211"/>
        <w:gridCol w:w="736"/>
        <w:gridCol w:w="166"/>
        <w:gridCol w:w="146"/>
        <w:gridCol w:w="211"/>
        <w:gridCol w:w="736"/>
        <w:gridCol w:w="2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Cash Flows from Operating Activities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Net cash used in operating activities for the three months ended March 31, 2026, was $21.2 million and consisted primarily of our net loss of $23.1 million and changes in our net operating assets and liabilities of $2.9 million, partially offset by net non-cash charges of $4.8 million. The net change in operating assets and liabilities consisted primarily of decreases of $2.0 million in accrued expenses and other current liabilities, $1.5 million in operating lease liabilities and $0.7 million in deferred revenue as we recognized revenue under our collaboration agreement, partially offset by an increase of $0.8 million in accounts payable. The net non-cash charges consisted primarily of $2.6 million in stock-based compensation expense, $1.3 million of depreciation expense, $1.3 million in non-cash lease expense, partially offset by $0.4 million in accretion of discounts on available-for-sale marketable securities.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Net cash used in operating activities for the three months ended March 31, 2025, was $22.8 million and consisted primarily of our net loss of $25.0 million and changes in our net operating assets and liabilities of $2.3 million, partially offset by net non-cash charges of $4.5 million. The net change in operating assets and liabilities consisted primarily of a decrease of $3.0 million in deferred revenue as we recognized revenue under our collaboration agreements, a decrease of $2.6 million in accrued expenses and other current liabilities, a decrease of $1.4 million in operating lease liabilities and a decrease of $2.2 million in prepaid expenses and other assets, partially offset by an increase of $2.2 million accounts payable due to the timing of payments to our vendors. The net non-cash charges consisted primarily of $2.9 million in stock-based compensation expense, $1.4 million of depreciation expense, $1.3 million in non-cash lease expense, partially offset by $1.0 million in accretion of discounts on available-for-sale marketable securities and $0.1 million in amortization of non-cash collaboration revenue related to the Affini-T Agreement.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Cash Flows from Investing Activities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Net cash provided by investing activities for the three months ended March 31, 2026, was $4.0 million primarily due to net maturities of available-for-sale marketable securities of $4.0 million.</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Net cash provided by investing activities for the three months ended March 31, 2025, was $24.7 million primarily due to net maturities of available-for-sale marketable securities of $25.0 million, partially offset by purchases of property and equipment of $0.3 million.</w:t>
      </w:r>
    </w:p>
    <w:p>
      <w:pPr>
        <w:pStyle w:val="TextBody"/>
        <w:bidi w:val="0"/>
        <w:spacing w:before="240" w:after="283"/>
        <w:jc w:val="left"/>
        <w:rPr>
          <w:rFonts w:ascii="Times New Roman" w:hAnsi="Times New Roman"/>
          <w:i/>
          <w:color w:val="231F20"/>
          <w:sz w:val="20"/>
        </w:rPr>
      </w:pPr>
      <w:r>
        <w:rPr>
          <w:rFonts w:ascii="Times New Roman" w:hAnsi="Times New Roman"/>
          <w:i/>
          <w:color w:val="231F20"/>
          <w:sz w:val="20"/>
        </w:rPr>
        <w:t>Cash Flows from Financing Activities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Net cash used in financing activities for the three months ended March 31, 2026, was less than $0.1 million due to payment of deferred financing costs.</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Net cash used in financing activities for the three months ended March 31, 2025, was $0.1 million due to payment of deferred financing costs.</w:t>
      </w:r>
    </w:p>
    <w:p>
      <w:pPr>
        <w:pStyle w:val="TextBody"/>
        <w:bidi w:val="0"/>
        <w:spacing w:before="240" w:after="283"/>
        <w:jc w:val="left"/>
        <w:rPr>
          <w:rFonts w:ascii="Times New Roman" w:hAnsi="Times New Roman"/>
          <w:b/>
          <w:i/>
          <w:color w:val="231F20"/>
          <w:sz w:val="20"/>
        </w:rPr>
      </w:pPr>
      <w:r>
        <w:rPr>
          <w:rFonts w:ascii="Times New Roman" w:hAnsi="Times New Roman"/>
          <w:b/>
          <w:i/>
          <w:color w:val="231F20"/>
          <w:sz w:val="20"/>
        </w:rPr>
        <w:t>Contractual Obligations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material cash requirements include our contractual obligations for our leased office and laboratory space under three lease agreements and one vivarium lease agreement. During the three months ended March 31, 2026, there were no material changes outside the ordinary course of our business to our material cash requirements described under “Management’s Discussion and Analysis of Financial Condition and Results of Operations” included in our Annual Report on Form 10-K for the year ended December 31, 2025, filed with the SEC on March 5, 2026.</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Recently Issued Accounting Pronouncements</w:t>
      </w:r>
    </w:p>
    <w:p>
      <w:pPr>
        <w:pStyle w:val="TextBody"/>
        <w:bidi w:val="0"/>
        <w:spacing w:before="120" w:after="283"/>
        <w:jc w:val="left"/>
        <w:rPr>
          <w:rFonts w:ascii="Times New Roman" w:hAnsi="Times New Roman"/>
          <w:color w:val="231F20"/>
          <w:sz w:val="20"/>
        </w:rPr>
      </w:pPr>
      <w:r>
        <w:rPr>
          <w:rFonts w:ascii="Times New Roman" w:hAnsi="Times New Roman"/>
          <w:color w:val="231F20"/>
          <w:sz w:val="20"/>
        </w:rPr>
        <w:t>A description of recently issued accounting pronouncements that may potentially impact our financial position, results of operations or cash flows is disclosed in Note 2, “Summary of Significant Accounting Policies,” to our condensed financial statements included elsewhere in this Quarterly Report on Form 10-Q.</w:t>
      </w:r>
    </w:p>
    <w:p>
      <w:pPr>
        <w:pStyle w:val="TextBody"/>
        <w:bidi w:val="0"/>
        <w:spacing w:before="240" w:after="283"/>
        <w:jc w:val="left"/>
        <w:rPr>
          <w:rFonts w:ascii="Times New Roman" w:hAnsi="Times New Roman"/>
          <w:b/>
          <w:color w:val="231F20"/>
          <w:sz w:val="20"/>
        </w:rPr>
      </w:pPr>
      <w:r>
        <w:rPr>
          <w:rFonts w:ascii="Times New Roman" w:hAnsi="Times New Roman"/>
          <w:b/>
          <w:color w:val="231F20"/>
          <w:sz w:val="20"/>
        </w:rPr>
        <w:t>Critical Accounting Policies and Significant Judgments and Estimates</w:t>
      </w:r>
    </w:p>
    <w:p>
      <w:pPr>
        <w:pStyle w:val="TextBody"/>
        <w:bidi w:val="0"/>
        <w:spacing w:before="120" w:after="283"/>
        <w:jc w:val="left"/>
        <w:rPr>
          <w:rFonts w:ascii="Times New Roman" w:hAnsi="Times New Roman"/>
          <w:sz w:val="20"/>
        </w:rPr>
      </w:pPr>
      <w:r>
        <w:rPr>
          <w:rFonts w:ascii="Times New Roman" w:hAnsi="Times New Roman"/>
          <w:color w:val="231F20"/>
          <w:sz w:val="20"/>
        </w:rPr>
        <w:t xml:space="preserve">Our management’s discussion and analysis of our financial condition and results of operations is based on our financial statements, which have been prepared in accordance with generally accepted accounting principles (“GAAP”). The preparation of these financial statements requires us to make estimates and assumptions that affect the reported amounts of assets and liabilities and the disclosure of contingent assets and liabilities at the date of the financial statements, as well as the </w:t>
      </w:r>
      <w:r>
        <w:rPr>
          <w:rFonts w:ascii="Times New Roman" w:hAnsi="Times New Roman"/>
          <w:color w:val="000000"/>
          <w:sz w:val="20"/>
        </w:rPr>
        <w:t xml:space="preserve">reported revenue generated and expenses </w:t>
      </w:r>
      <w:r>
        <w:rPr>
          <w:rFonts w:ascii="Times New Roman" w:hAnsi="Times New Roman"/>
          <w:color w:val="231F20"/>
          <w:sz w:val="20"/>
        </w:rPr>
        <w:t>incurred during the reporting periods.</w:t>
      </w:r>
    </w:p>
    <w:p>
      <w:pPr>
        <w:pStyle w:val="TextBody"/>
        <w:bidi w:val="0"/>
        <w:spacing w:before="240" w:after="283"/>
        <w:jc w:val="left"/>
        <w:rPr>
          <w:rFonts w:ascii="Times New Roman" w:hAnsi="Times New Roman"/>
          <w:sz w:val="20"/>
        </w:rPr>
      </w:pPr>
      <w:r>
        <w:rPr>
          <w:rFonts w:ascii="Times New Roman" w:hAnsi="Times New Roman"/>
          <w:color w:val="231F20"/>
          <w:sz w:val="20"/>
        </w:rPr>
        <w:t xml:space="preserve">On an ongoing basis, we evaluate our estimates and judgments, including but not limited to those related to revenue recognition under our collaboration agreements, stock-based compensation expense, the valuation of deferred tax assets, and uncertain income tax positions. These estimates and assumptions are monitored and analyzed by us for changes in facts and circumstances, and material changes in these estimates and assumptions could occur in the future. Our estimates are based on our historical experience and on various other factors that we believe are reasonable under </w:t>
      </w:r>
      <w:r>
        <w:rPr>
          <w:rFonts w:ascii="Times New Roman" w:hAnsi="Times New Roman"/>
          <w:color w:val="000000"/>
          <w:sz w:val="20"/>
        </w:rPr>
        <w:t xml:space="preserve">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there were no material changes to our critical accounting estimates or in the methodology used for estimates from those described in “Management’s Discussion and Analysis of Financial Condition and Results of Operations” included in our Annual Report on Form 10-K for the year ended December 31, 2025.</w:t>
      </w:r>
    </w:p>
    <w:p>
      <w:pPr>
        <w:pStyle w:val="TextBody"/>
        <w:bidi w:val="0"/>
        <w:spacing w:before="360" w:after="283"/>
        <w:jc w:val="left"/>
        <w:rPr>
          <w:rFonts w:ascii="Times New Roman" w:hAnsi="Times New Roman"/>
          <w:b/>
          <w:color w:val="000000"/>
          <w:sz w:val="20"/>
        </w:rPr>
      </w:pPr>
      <w:bookmarkStart w:id="10" w:name="item_3_quantitative_and_qualitative"/>
      <w:bookmarkEnd w:id="10"/>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Exchange Act and are not required to provide the information required under this item.</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item_4_controls_and_procedures"/>
      <w:bookmarkEnd w:id="11"/>
      <w:r>
        <w:rPr>
          <w:rFonts w:ascii="Times New Roman" w:hAnsi="Times New Roman"/>
          <w:b/>
          <w:color w:val="000000"/>
          <w:sz w:val="20"/>
        </w:rPr>
        <w:t>Item 4. Controls and Procedures.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and supervision of our principal executive officer and our principal financial officer, carried out an evaluation of the effectiveness of the design and operation of our disclosure controls and procedures, as defined by Rule 13a-15(e) and Rule 15d-15(e) under the Exchange Act, as of the end of the period covered by this Quarterly Report on Form 10-Q. We maintain disclosure controls and procedures that are designed to ensure that information required to be disclosed by us in the reports we file or submit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us in the reports we file under the Exchange Act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Based on the foregoing, our principal executive officer and principal financial officer concluded that our disclosure controls and procedures were effective as of the end of the period covered by this Quarterly Report on Form 10-Q at the reasonable assurance level.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changes in our internal control over financial reporting (as defined in Rules 13a-15(f) and 15d-15(f) under the Exchange Act) during the quarter ended March 31, 2026, that have materially affected, or are reasonably likely to materially affect, our internal control over financial reporting.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12" w:name="part_ii_other_information"/>
      <w:bookmarkEnd w:id="12"/>
      <w:r>
        <w:rPr>
          <w:rFonts w:ascii="Times New Roman" w:hAnsi="Times New Roman"/>
          <w:b/>
          <w:color w:val="000000"/>
          <w:sz w:val="20"/>
        </w:rPr>
        <w:t>PART II—OTHER INFORMATION</w:t>
      </w:r>
    </w:p>
    <w:p>
      <w:pPr>
        <w:pStyle w:val="TextBody"/>
        <w:bidi w:val="0"/>
        <w:spacing w:before="36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legal proceedings arising from the ordinary course of business. Although the results of litigation and claims cannot be predicted with certainty, we currently believe that the final outcome of these ordinary course matters will not have a material adverse effect on our business. Regardless of the outcome, litigation can have an adverse impact on us because of defense and settlement costs, diversion of management resources and other factors. For information regarding legal proceedings, refer to Note 8, “Commitments and Contingencies – Legal contingencies” in the accompanying “Notes to Condensed Financial Statements (unaudited)” in Item 1 and “We are currently, and may in the future be, subject to securities litigation, which is expensive and could divert management attention” in Item 1A of this Quarterly Report on Form 10-Q which information is incorporated by reference herein.</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and uncertainties described below together with all of the other information contained in this Quarterly Report on Form 10-Q, including our condensed financial statements and related notes appearing at the end of this Quarterly Report on Form 10-Q, before deciding to invest in our common stock. If any of the events or developments described below were to occur, our business, prospects, operating results and financial condition could suffer materially, the trading price of our common stock could decline and you could lose all or part of your investment. The risks and uncertainties described below are not the only ones we face. Additional risks and uncertainties not presently known to us or that we currently believe to be immaterial may also adversely affect our business.</w:t>
      </w:r>
    </w:p>
    <w:p>
      <w:pPr>
        <w:pStyle w:val="TextBody"/>
        <w:bidi w:val="0"/>
        <w:spacing w:before="240" w:after="283"/>
        <w:jc w:val="center"/>
        <w:rPr>
          <w:rFonts w:ascii="Times New Roman" w:hAnsi="Times New Roman"/>
          <w:sz w:val="20"/>
        </w:rPr>
      </w:pPr>
      <w:r>
        <w:rPr>
          <w:rFonts w:ascii="Times New Roman" w:hAnsi="Times New Roman"/>
          <w:b/>
          <w:color w:val="000000"/>
          <w:sz w:val="20"/>
        </w:rPr>
        <w:t>SUMMARY OF MATERIAL RISKS ASSOCIATED WITH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subject to numerous risks and uncertainties that you should be aware of in evaluating our business. These risks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losses since inception. We expect to incur losses for the foreseeable future and may never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will require substantial additional funding. If we are unable to raise additional capital when needed on acceptable terms, or at all, we may be forced to delay, reduce, or terminate certain of our research and product development programs, future commercialization efforts or other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very early in our development efforts, and we have not yet initiated clinical development of any product candidate. As a result, we expect it will be many years before we commercialize any product candidate, if ever. If we are unable to advance our future product candidates into and through clinical trials, obtain regulatory approval and ultimately commercialize our product candidates or experience significant delays in doing so, our business will be materially harmed.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additional development challenges and risks due to the novel nature of our genome editing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genome editing field is relatively new and is evolving rapidly. We are focusing our research and development efforts on genome editing using programmable nucleases, base editing, and RNA and DNA-mediated integration systems (including prime editors and CRISPR-associated (“Cas”) transposases), but other genome editing technologies may be discovered that provide significant advantages over such technologies, which could materially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intend to seek designations for our potential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potential product candidates are granted such designations, we may not be able to realize the intended benefits of such designations.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we are developing product candidates in the field of genetic medicines in which there is little clinical experience, there is increased risk that the FDA, the EMA or other regulatory authorities may not consider the endpoints of our clinical trials to provide clinically meaningful results and that these results may be difficult to analyze.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conflicts arise between us and our collaborators or strategic partners, these parties may act in a manner adverse to us and could limit our ability to implement our strategies.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collaborations, and may enter into additional collaborations, with third parties for the research, development, manufacture and commercialization of programs or product candidates. If these collaborations are not successful, our business could be adversely affected.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on our ability to obtain, maintain, enforce, and otherwise protect our intellectual property and proprietary technology, and if the scope of the intellectual property protection obtained is not sufficiently broad, our competitors or other third parties could develop and commercialize products and product candidates similar or identical to ours and our ability to successfully develop and commercialize our genome editing systems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difficult and costly to protect our intellectual property and our proprietary technologies, and we may not be able to ensure their protection.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summary risk factors described above should be read together with the text of the full risk factors below in this section titled “Risk Factors” in Part II, Item 1A. and the other information set forth in this Quarterly Report on Form 10-Q, as well as in other documents that we file with the U.S. Securities and Exchange Commission (SEC). The risks summarized above or described in full below are not the only risks that we face. Additional risks and uncertainties not precisely known to us, or that we currently deem to be immaterial, may also materially adversely affect our business, financial condition, results of operations and future growth prospects.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Financial Position and Need for Capital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incurred significant losses since inception. We expect to incur losses for the foreseeable future and may never achieve or maintain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inception, we have incurred significant operating losses. Our net losses were $87.9 million and $78.1 million for the years ended December 31, 2025 and 2024, respectively, and for the three months ended March 31, 2026 and 2025, our net losses were $23.1 million and $25.0 million, respectively. As of March 31, 2026, we had an accumulated deficit of $333.9 million. We have financed our operations primarily through issuing redeemable convertible preferred units and convertible promissory notes, entering into collaboration agreements, and through the IPO proceeds. Substantially all of our losses have resulted from expenses incurred in connection with our research and development and from general and administrative costs associated with our operations. We expect to continue to incur significant expenses and increasing operating losses for the foreseeable future. The net losses we incur may fluctuate significantly from quarter to quarter. We anticipate that our expenses will increase substantially if and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our current research activities and further develop our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preclinical development and initiate clinical trials for any product candidates we may identify;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 for any product candidates for which we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our manufacturing capabilities, including internal manufacturing facilities and contracting with other vendors;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ultimately, commercialize our future product candidates requiring significant marketing, sales, and distribution infrastructure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hire additional research and development, clinical, commercial, general and administration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maintain, expand, protect, and enforce our intellectual property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acquire or in-license product candidates, intellectual property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confirm, maintain or obtain freedom to operate for any of our owned or licensed technologies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 operational, financial and management information systems and personnel;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legal, audit, accounting, compliance, insurance, investor relations and other expenses related to operating as a public company that we did not incur as a private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will need substantial additional funding to support our continuing operations and pursue our growth strategy. In March 2025, we filed a Shelf Registration Statement on Form S-3 (File No. 333-285867) with the U.S. Securities and Exchange Commission, which was declared effective on March 25, 2025, and permits us to sell from time to time up to $250.0 million of shares of our common stock and other securities in one or more offerings in amounts, at prices, and on the terms that we will determine at the time of any such offering. In addition, SEC regulations limit the amount that companies with a public float of less than $75 million may raise during any 12-month period pursuant to a shelf registration statement on Form S-3. As of the filing of this Quarterly Report on Form 10-Q, we are subject to General Instruction I.B.6 to Form S-3 (the “Baby Shelf Rule”). Under the Baby Shelf Rule, the amount of funds we can raise through primary public offerings of securities in any 12-month period using our registration statement on Form S-3, with limited exceptions, is limited to one-third of the aggregate market value of the shares of our common stock held by non-affiliates. Therefore, we will be limited in the amount of proceeds we are able to raise by selling shares of our common stock using our Form S-3.</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In connection with the Shelf Registration Statement, we entered into an Open Market Sale Agreement</w:t>
      </w:r>
      <w:r>
        <w:rPr>
          <w:rFonts w:ascii="Times New Roman" w:hAnsi="Times New Roman"/>
          <w:color w:val="000000"/>
          <w:sz w:val="13"/>
        </w:rPr>
        <w:t>SM</w:t>
      </w:r>
      <w:r>
        <w:rPr>
          <w:rFonts w:ascii="Times New Roman" w:hAnsi="Times New Roman"/>
          <w:color w:val="000000"/>
          <w:sz w:val="20"/>
        </w:rPr>
        <w:t xml:space="preserve"> (the “ATM Sales Agreement”) with Jefferies LLC (“Jefferies”) on March 17, 2025, pursuant to which we may issue and sell, from time to time and at our sole discretion, shares of our common stock, through Jefferies as sales agent, by any method permitted by law deemed to be an “at the market” offering as defined in Rule 415(a)(4) promulgated under the Securities Act, having an aggregate offering price of up to $75.0 million. As of March 31, 2026, we have not sold any shares of our common stock pursuant to the ATM Sales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Until such time as we can generate significant revenue from product sales, if ever, we expect to finance our operations through the sale of equity, debt financings, or other capital sources, which may include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reduce or eliminate the development and commercialization of our platform or delay our pursuit of potential in-licenses or acquisitions.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initiated clinical development of any potential product candidate and expect that it will be many years, if ever, before we have a product candidate ready for commercialization. To become and remain profitable, we must develop and, either directly or through collaborators, eventually commercialize a therapy or therapies with market potential. This will require us to be successful in a range of challenging activities, including identifying product candidates, completing preclinical studies and clinical trials of product candidates, obtaining regulatory approval for these product candidates, manufacturing, marketing and selling those therapies for which we may obtain regulatory approval and satisfying any post-marketing requirements. We may never succeed in these activities and, even if we do, may never generate revenues that are significant or large enough to achieve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developing our technology and any potential product candidates, we are unable to predict the extent of any future losses or when we will become profitable, if at all.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company could also cause you to lose all or part of your investment.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never generated revenue from product sales and may never become profitable.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from product sales and achieve profitability depends on our ability, alone or with collaborative partners, to successfully complete the development of, and obtain the regulatory approvals necessary to commercialize, product candidates we may identify for development. We may not generate revenues from product sales for many years, if ever. Our ability to generate future revenues from product sales depends heavily on our or our collaborators’ ability to successfully: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identify product candidates and successfully complete research development of any product candidates we may identify;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and obtain regulatory approvals for any product candidates for which we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launch and commercialize any product candidates for which we may obtain regulatory approval by establishing a sales force, marketing and distribution infrastructure, or alternatively, collaborating with a commercialization partner;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qualify for adequate coverage and reimbursement by government and third-party payors for any product candidates for which we may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supply and manufacturing relationships with third parties that can provide adequate, in both amount and quality, products and services to support clinical development and the market demand for any product candidates for which we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maintain and enhance a sustainable, scalable, reproducible and transferable manufacturing process for the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 competing technological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negotiate favorable terms in any collaboration, licensing or other arrangements into which we may enter and performing our obligations in such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receive market acceptance by physicians, patients, healthcare payors, and others in the medical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 protect, enforce, defend and expand our portfolio of intellectual property and other proprietary rights, including patents, trade secrets and know-how;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defend against third-party intellectual property claims of infringement, misappropriation or other violation;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hire and retain qualified personnel.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expenses could increase beyond expectations if we are required by the U.S. Food and Drug Administration (the “FDA”) or other regulatory authorities to perform preclinical studies or clinical trials in addition to those that we currently anticipate. Even if one or more of the product candidates we may develop are approved for commercial sale, we anticipate incurring significant costs associated with commercializing any approved product candidate. Additionally, such products may become subject to unfavorable pricing regulations, third-party reimbursement practices or healthcare reform initiatives. Even if we are able to generate revenues from the sale of any approved product candidates, we may not become profitable and may need to obtain additional funding to continue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operations will require substantial additional funding. If we are unable to raise additional capital when needed on acceptable terms, or at all, we may be forced to delay, reduce, or terminate certain of our research and product development programs, future commercialization efforts or other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genome editing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identify, continue the research and development of, initiate and conduct clinical trials of, and seek regulatory approval for, any product candidates we may identify. In addition, if we obtain regulatory approval for any product candidates we may identify, we expect to incur significant commercialization expenses related to product sales, marketing, manufacturing, and distribution to the extent that such sales, marketing, manufacturing, and distribution are not the responsibility of a collaborator. Other unanticipated costs may also arise. Furthermore, we expect to continue incurring additional costs associated with operating as a public company. Accordingly, we will need to obtain substantial additional funding in connection with our continuing operations. If we are unable to raise capital when needed or on acceptable terms, we would be forced to delay, reduce, or eliminate our research and product development programs, future commercialization efforts or other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our cash, cash equivalents and available-for-sale marketable securities were $140.2 million. We expect that our existing cash, cash equivalents, and available-for-sale marketable securities, will enable us to fund our operating expenses and capital expenditure requirements for at least the next 12 months from the date of issuance of this Quarterly Report on Form 10-Q. However, our operating plan may change as a result of factors currently unknown to us, and we may need to seek funding sooner than planned. Our future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research and development,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scope and duration of clinical trials required for regulatory approval of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timing, and outcome of regulatory review of any of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manufacturing clinical and commercial supplies of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future product candidates for which we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our patent applications, maintaining and enforcing our patents and other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 and license agreements on favorable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liability or other lawsuits related to our future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implementation of various computerized informational systems and efforts to enhance operational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to attract, hire and retain skilled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 commercially viable pricing structure and obtain approval for coverage and adequate reimbursement from third-party and government payers;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invest in businesses, products,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pandemics, epidemics or outbreaks of a contagious illness, economic uncertainty, tariffs and other trade disputes and geopolitical tensions, which may exacerbate the magnitude of the factors discussed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In addition, our future product candidates, if approved, may not achieve commercial success. Our commercial revenues, if any, will be derived from sales of products that we do not expect to be commercially available for many years, if at all. Accordingly, we will need to continue to rely on additional financing to achieve our business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Adequate additional financing may not be available to us on acceptable terms, or at all. As of the filing of this Quarterly Report on Form 10-Q, we are subject to the Baby Shelf Rule, which, with limited exceptions, limits the amount of funds we can raise through primary public offerings of securities in any 12-month period using our registration statement on Form S-3 to one-third of the aggregate market value of the shares of our common stock held by non-affiliates.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declaring dividends, and possibly other restrictions.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additional fundraising efforts may divert our management from their day-to-day activities, which may adversely affect our ability to develop and commercialize our product candidates. We have no committed sources of additional capital and, if we are unable to raise additional capital in sufficient amounts or on terms acceptable to us, we may have to significantly delay, scale back or discontinue the development or commercialization of our future product candidates or other research and development initiatives. Without sufficient funding, our license agreements, such as our Non-Exclusive License Agreement with Acuitas Therapeutics, Inc., and any future collaboration agreements may also be terminated if we are unable to meet the payment or other obligations under such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Additionally, if we raise funds through additional collaborations, strategic alliances, or licensing arrangements with third parties, we may have to relinquish valuable rights to our technologies, future revenue streams, research programs, or product candidates we develop, or we may have to grant licenses on terms that may not be favorable to us and/or that may reduce the value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short operating history may make it difficult for you to evaluate the success of our business to date and to assess our future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an early-stage company. We commenced our operations in September 2018. Our operations to date have been limited to organizing and staffing our company, business planning, raising capital, and research and development activities such as acquiring and developing our platform and technology and identifying and beginning to advance preclinical testing of potential product candidates. All of our programs are still in the research or lead optimization stage of development and their risk of failure is high. We have not yet demonstrated an ability to initiate or successfully complete any clinical trials, including large-scale, pivotal clinical trials, obtain regulatory approvals, manufacture a commercial-scale therapy, arrange for a third party to do so on our behalf or conduct sales and marketing activities necessary for successful commercialization.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limited operating history, particularly in light of the rapidly evolving genome editing field, may make it difficult to evaluate our technology and industry and predict our future performance. Our short history as an operating company makes any assessment of our future success or viability subject to significant uncertainty. We will encounter risks and difficulties frequently experienced by very early stage companies in rapidly evolving fields. If we do not address these risks successfully, our business will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a new business that is rapidly growing, we may encounter other unforeseen expenses, difficulties, complications, and delays in our product development. We will need to transition from a company with a research focus to a company capable of conducting clinical trials and ultimately supporting commercial activities if any of our future product candidates are approved. We may not be successful in such a transition.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future ability to utilize our net operating loss carryforwards and certain other tax attributes may be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losses and we may never achieve profitability. As of December 31, 2025, we had U.S. federal net operating loss carryforwards of $175.3 million (which are not subject to expiration) and state net operating loss carryforwards of $213.5 million (which begin to expire in various amounts in 2037), $3.3 million of research credit carryforwards for federal income tax purposes (which begin to expire in various amounts in 2045) and $6.1 million of research credit carryforwards for state income tax purposes (which do not expire and can be carried forward indefinitely). To the extent that we continue to generate taxable losses, under current law, our unused U.S. federal net operating losses (“NOLs”) may be carried forward to offset a portion of future taxable income, if any. Additionally, we continue to generate business tax credits, including research and development tax credits, which generally may be carried forward to offset a portion of future taxable income, if any, subject to expiration of such credit carryforwards. Under Sections 382 and 383 of the Internal Revenue Code of 1986, as amended (the “Code”), if a corporation undergoes an “ownership change,” generally defined as one or more shareholders or groups of shareholders who own at least 5 percent of the corporation’s equity increasing their equity ownership in the aggregate by more than 50 percentage points (by value) over a three-year period, the corporation’s ability to use its pre-change NOLs and other pre-change tax attributes (such as research and development tax credits) to offset its post-change income or taxes may be limited. Similar rules may apply under state tax laws. We may experience ownership changes in the future, some of which are outside of our control. As a result, if we earn net taxable income, our ability to use our pre-change NOLs or other pre-change tax attributes to offset U.S. federal taxable income may be subject to limitations, which could potentially result in increased future tax liability to us. Additional limitations on our ability to utilize our NOLs to offset future taxable income may arise as a result of our corporate structure whereby NOLs generated by our subsidiary may not be available to offset taxable income earned by our subsidiary. There is a risk that due to changes under the tax law, regulatory changes or other unforeseen reasons, our existing NOLs or business tax credits could expire or otherwise be unavailable to offset future income tax liabilities. At the state level, there may also be periods during which the use of NOLs or business tax credits is suspended or otherwise limited, which could accelerate or permanently increase state taxes owed. For these reasons, we may not be able to realize a tax benefit from the use of our NOLs or tax credits, even if we attain profitability.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tax laws or in their implementation or interpretation may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could adversely affect our business and our financial condition. In recent years, many such changes have been made, including the One Big Beautiful Bill Act (the “OBBBA”), which was signed into law on July 4, 2025, and made significant changes to U.S. federal tax law. Changes to tax laws (which changes may have retroactive application) could adversely affect our business and our financial condition. For example, under Section 174 of the IRC, in taxable years beginning after December 31, 2021, expenses that are incurred for research and development performed outside the U.S. will be capitalized and amortized, which may have an adverse effect on our cash flow. The OBBBA provides that for taxable years beginning after December 31, 2024, expenses that are incurred for research and development performed in the U.S. may, at the taxpayer’s election, be immediately deducted or capitalized and amortized. In addition, the OBBBA provides that for taxable years beginning after December 31, 2021 and before January 1, 2025, certain eligible taxpayers generally may elect to retroactively deduct expenses for research and development performed in the U.S. in such taxable years generally may elect to accelerate and deduct the remaining unamortized amounts of such research and development expenses (i) in the first taxable year beginning after December 31, 2024, or (ii) ratably over the two-taxable year period beginning with the first taxable year beginning after December 31 2024. In recent years, many such changes have been made and changes are likely to continue to occur in the future. For example, under Section 174 of the Code, currently, in taxable years beginning after December 31, 2021, expenses that are incurred for research and development in the U.S. are capitalized and amortized, which may have an adverse effect on our cash flow. More recently, however, there have been proposals to retroactively reinstate deductibility under Section 174 of the Code. We cannot predict whether, when, in what form or with what effective dates, tax laws, regulations and rulings may be enacted, promulgated or decided or whether they could increase our tax liability or require changes in the manner in which we operate in order to minimize increases in our tax liability.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Business, Technology, and Industry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very early in our development efforts, and we have not yet initiated clinical development of any product candidate. As a result, we expect it will be many years before we commercialize any product candidate, if ever. If we are unable to advance our future product candidates into and through clinical trials, obtain regulatory approval and ultimately commercialize our product candidates or experience significant delays in doing so, our business will be materially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very early in our development efforts and have focused our research and development efforts to date on research efforts including preclinical studies. Currently, all of our programs are still in the research, lead optimization, or IND-enabling stage of development. Our ability to generate product revenues, which we do not expect will occur for many years, if ever, will depend heavily on the successful development, regulatory approval and eventual commercialization of our future product candidates, which may never occur. We have not yet generated revenue from product sales, and we may never be able to develop or commercialize a marketable product.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Commencing clinical trials in the United States is subject to acceptance by the FDA of an IND application and finalizing the trial design based on discussions with the FDA. In the event that the FDA requires us to complete additional preclinical studies or we are required to satisfy other FDA requests prior to commencing clinical trials, the start of our first clinical trials may be delayed or we may be unsuccessful obtaining clearance to proceed into clinical development. Even after we receive and incorporate guidance from the FDA, the FDA could disagree that we have satisfied their requirements to commence any clinical trial or change their position on the acceptability of our trial design or the clinical endpoints selected, which may require us to complete additional preclinical studies or clinical trials, delay the enrollment of our clinical trials, abandon our clinical development plans or meet stricter approval conditions than we currently expect. For example, emerging data relating to our hemophilia A development candidate, MGX-001, from our NHP studies using our bioengineered B-domain deleted FVIII construct has, to date, demonstrated both high activity as well as high variability related to FVIII. While we have not received all of the data from the studies, we have commenced additional studies and may consider alternatives to this bioengineered FVIII construct. While we are planning to achieve our IND submission timelines, the need to conduct additional studies and/or consider alternatives to bioengineered FVIII, the risks described above relating to the FDA submission process, coupled with the uncertain regulatory environment in the United States, could delay our current expected IND submission timelines.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equivalent processes and risks applicable to clinical trial applications in other countries, including countries in the European Union. In addition, clinical trials conducted in one country may not be accepted by regulatory authorities in other countries, and regulatory approval in one country does not guarantee regulatory approval in any other country. We may conduct one or more of our clinical trials with one or more trial sites that are located outside the United States. Although the FDA may accept data from clinical trials conducted outside the United States, acceptance of these data is subject to conditions imposed by the FDA, and there can be no assurance that the FDA will accept data from trials conducted outside of the United States. If the FDA does not accept the data from any trial that we conduct outside the United States, it would likely result in the need for additional trials, which would be costly and time-consuming and could delay or permanently halt our development of the applicable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Commercialization of any product candidates we may develop will require preclinical and clinical development; regulatory approval in multiple jurisdictions; manufacturing supply, capacity and expertise; a commercial organization; and significant marketing efforts. The success of product candidates we may identify and develop will depend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and successful completion of preclinical studies, including toxicology studies, biodistribution studies and minimally efficacious dose studies in animals, where applicable;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INDs or comparable foreign applications that allow commencement of our planned clinical trials or future clinical trials for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and completion of clinical trials, including under the FDA’s current Good Clinical Practices (“GCPs”), current Good Laboratory Practices (“GLPs”), and any additional regulatory requirements from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results from our future clinical trials that support a finding of safety and effectiveness and an acceptable risk-benefit profile in the intended populations;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regulatory approvals from applicable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of arrangements through our own facilities or with third-party manufacturers for clinical supply and, where applicable, commercial manufacturing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maintenance, defense and enforcement of patent, trademark, trade secret and other intellectual property protection or regulatory exclusivity for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commercial launch of any product candidates we may develop, if approved, whether alone or in collaboration with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the benefits and use of our product candidates we may develop, including method of administration, if and when approved, by patients, the medical community and third-party payors;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competition with other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maintenance of a continued acceptable safety, tolerability and efficacy profile of any product candidates we may develop following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and maintenance of healthcare coverage and adequate reimbursement by payors.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succeed in one or more of these factors in a timely manner or at all, we could experience significant delays or an inability to successfully commercialize any product candidates we may develop, which would materially harm our business. If we are unable to advance our product candidates to clinical development, obtain regulatory approval and ultimately commercialize our product candidates, or experience significant delays in doing so, our business will be materially harmed.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additional development challenges and risks due to the novel nature of our genome editing technology.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Because our </w:t>
      </w:r>
      <w:r>
        <w:rPr>
          <w:rFonts w:ascii="Times New Roman" w:hAnsi="Times New Roman"/>
          <w:i/>
          <w:color w:val="000000"/>
          <w:sz w:val="20"/>
        </w:rPr>
        <w:t xml:space="preserve">in vivo </w:t>
      </w:r>
      <w:r>
        <w:rPr>
          <w:rFonts w:ascii="Times New Roman" w:hAnsi="Times New Roman"/>
          <w:color w:val="000000"/>
          <w:sz w:val="20"/>
        </w:rPr>
        <w:t>technology potentially involves genome editing across multiple cell and tissue types, we are subject to many of the challenges and risks that other genome editing therapeutics and gene therapies face,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guidance regarding the requirements governing gene and genome editing therapy product candidates have changed and may continue to change in the future;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to date, only a limited number of products that involve </w:t>
      </w:r>
      <w:r>
        <w:rPr>
          <w:rFonts w:ascii="Times New Roman" w:hAnsi="Times New Roman"/>
          <w:i/>
          <w:color w:val="000000"/>
          <w:sz w:val="20"/>
        </w:rPr>
        <w:t xml:space="preserve">in vivo </w:t>
      </w:r>
      <w:r>
        <w:rPr>
          <w:rFonts w:ascii="Times New Roman" w:hAnsi="Times New Roman"/>
          <w:color w:val="000000"/>
          <w:sz w:val="20"/>
        </w:rPr>
        <w:t>gene transfer have been approved globally;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improper modulation of a gene sequence, including unintended editing events or insertion of a sequence into certain locations in a patient’s chromosome, could lead to cancer, other aberrantly functioning cells or other diseases, including death;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corrective expression of a missing protein in patients’ cells could result in the protein being recognized as foreign, and lead to a sustained immunological reaction against the expressed protein or expressing cells, which could be severe or life-threatening;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agencies may require extended follow-up observation periods of patients who receive treatment using genome editing product candidates including, for example, the FDA’s recommended 15-year follow-up observation period for these patients, and we will need to adopt such observation periods for product candidates we develop if required by the relevant regulatory agency, which could vary by country or region.</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Furthermore, our technology has potential application for </w:t>
      </w:r>
      <w:r>
        <w:rPr>
          <w:rFonts w:ascii="Times New Roman" w:hAnsi="Times New Roman"/>
          <w:i/>
          <w:color w:val="000000"/>
          <w:sz w:val="20"/>
        </w:rPr>
        <w:t xml:space="preserve">ex vivo </w:t>
      </w:r>
      <w:r>
        <w:rPr>
          <w:rFonts w:ascii="Times New Roman" w:hAnsi="Times New Roman"/>
          <w:color w:val="000000"/>
          <w:sz w:val="20"/>
        </w:rPr>
        <w:t xml:space="preserve">immune cell editing strategies. Because </w:t>
      </w:r>
      <w:r>
        <w:rPr>
          <w:rFonts w:ascii="Times New Roman" w:hAnsi="Times New Roman"/>
          <w:i/>
          <w:color w:val="000000"/>
          <w:sz w:val="20"/>
        </w:rPr>
        <w:t xml:space="preserve">ex vivo </w:t>
      </w:r>
      <w:r>
        <w:rPr>
          <w:rFonts w:ascii="Times New Roman" w:hAnsi="Times New Roman"/>
          <w:color w:val="000000"/>
          <w:sz w:val="20"/>
        </w:rPr>
        <w:t>application of our technology potentially involves editing human cells and then delivering modified cells to patients, we may be subject to many of the challenges and risks that engineered cell therapies face. For example, clinical trials using engineered cell-based gene therapies may require unique products to be created for each patient and such individualistic manufacturing may be both inefficient and cost-prohibitive.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Clinical drug development involves a lengthy and expensive process, with an uncertain outcome. Because genome editing is relatively novel and the regulatory landscape that will govern our potential product candidates is uncertain and may change, we cannot predict the time and cost of obtaining regulatory approval, if we receive it at all, for our potential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required to obtain approval for any of our potential product candidates from the FDA, the European Commission (“EC”) or other comparable foreign regulatory authorities is unpredictable but typically takes many years following the commencement of clinical trials and depends upon numerous factors, including the substantial discretion of regulatory authorities. For more information on the regulatory approval process, see “Business—Government Regulation” in our Annual Report on Form 10-K for the fiscal year ended December 31, 2025.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 Clinical trials may fail to demonstrate that our product candidates are safe for humans and effective for indicated uses. Even if initial clinical trials in any of any product candidates we may develop are successful, such product candidates may fail to show the desired safety and efficacy in later stages of clinical development despite having successfully advanced through preclinical studies and initial clinical trials. There is a high failure rate for drugs and biologics proceeding through clinical trials. A number of companies in the pharmaceutical and biotechnology industries have suffered significant setbacks in later stage clinical trials even after achieving promising results in earlier stage clinical trials.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genome editing is relatively novel, the regulatory requirements that will govern any novel genome editing product candidates we develop may continue to evolve. Only one genome editing therapy, CASGEVY, has received marketing authorization from the FDA and EC to date and, within the broader genetic therapy field, a limited number of gene therapy products have received marketing authorization from the FDA and the EC. Even with respect to more established products that fit into the categories of gene therapies or cell therapies, the regulatory landscape is still developing. Regulatory requirements governing gene therapy products and cell therapy products have changed frequently and may continue to change in the future. For example, in January 2024, the FDA published a final guidance document providing recommendations for human genome editing gene therapy products, and in September 2025, the FDA issued several new draft guidance documents on cell and gene therapy products. Moreover, there is substantial, and sometimes uncoordinated, overlap in those responsible for regulation of existing gene therapy products and cell therapy products. For example, in the United States, the FDA has established the Office of Therapeutic Products (“OTP”) within its Center for Biologics Evaluation and Research (“CBER”) to consolidate the review of gene therapy and related products, and the Cellular, Tissue and Gene Therapies Advisory Committee to advise CBER on its review. Gene therapy clinical trials may also be subject to review and oversight by an institutional biosafety committee (“IBC”), a local institutional committee that reviews and oversees certain basic and clinical research conducted at the institution participating in the clinical trial. Although the FDA decides whether individual gene therapy protocols may proceed, the review process and determinations of other reviewing bodies, such as an IBC or institutional review board (“IRB”), can impede or delay the initiation of a clinical trial, even if the FDA has reviewed the trial and approved its initiation. For example, more recently, some genome editing companies have seen significant delays in receiving FDA authorization to allow the initiation of their clinical trials, and has suspended ongoing trials, due to the FDA’s placement of clinical holds on their INDs.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same applies in the European Union. The European Medicines Agency’s (“EMA”) Committee for Advanced Therapies (“CAT”) is responsible for assessing the quality, safety and efficacy of advanced-therapy medicinal products (i.e. gene therapy, somatic-cell therapy or tissue-engineered medicines). The role of the CAT is to prepare a draft opinion on an application for marketing authorization for a gene therapy medicinal candidate that is submitted to the Committee for Medicinal Products for Human Use (“CHMP”) before the CHMP adopts its opinion which is submitted to the EC for the final decision on whether to grant a marketing authorization or not. In the European Union, the EMA publishes guidelines for the development and evaluation of gene therapy medicinal products to assist in preparing marketing authorization applications, however these are continually under review. The EMA may issue new guidelines concerning the development and marketing authorization for gene therapy medicinal products and require that we comply with these new guidelines.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developments in post-marketing experience or in clinical trials conducted by others of gene therapy products, cell therapy products or products developed through the application of genome editing technology may cause the FDA, the EMA and other regulatory bodies to revise the requirements for development or approval of our potential product candidates or limit the use of products utilizing genome editing technologies, either of which could materially harm our business. 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novel product candidates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genome editing technology in a timely manner or under technically or commercially feasible conditions. In addition, regulatory action or private litigation could result in expenses, delays or other impediments to our research programs or the commercialization of resulting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regulatory review committees and advisory groups described above and any new guidelines they promulgate may lengthen the regulatory review process, require us to perform additional studies or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genome editing field is relatively new and is evolving rapidly. We are focusing our research and development efforts on genome editing using programmable nucleases, base editing, and RNA and DNA-mediated integration systems (including prime editors and CRISPR-associated (“Cas”) transposases), but other genome editing technologies may be discovered that provide significant advantages over such technologies, which could materially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focused our efforts on genome editing technologies using programmable nucleases, base editing, and RNA and DNA-mediated integration systems (including prime editors and Cas transposases backed by our metagenomics database). Other companies have previously undertaken research and development of genome editing technologies using zinc finger nucleases, engineered meganucleases and transcription activator-like effector nucleases, but to date none have obtained regulatory approval for a product candidate. There can be no certainty that genome editing technology will lead to the development of genetic medicines or that other genome editing technologies will not be considered better or more attractive for the development of medicines. A number of alternative approaches are being developed by others. Our investments may not be consistent with the expectations of our stockholders and may not produce the benefits that we expect, in which case our growth, business, financial condition, and results of operations could be adversely affected. See “Risk Factors—Risks Related to Business, Technology and Industry—We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 Similarly, another new genome editing technology that has not been discovered yet may be more attractive than programmable nucleases, base editing, and RNA and DNA-mediated integration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if we decide to develop genome editing technologies other than those involving such technologies, we cannot be certain we will be able to obtain rights to such technologies. Any of these factors could reduce or eliminate our commercial opportunity, and could have a material adverse effect on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any of the product candidates we may develop or the delivery modes we rely on cause undesirable side effects, it could delay or prevent their development or potential regulatory approval, limit the commercial potential or result in significant negative consequences following any potential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evaluated any product candidates in human clinical trials. It is impossible to predict when or if any product candidates we may develop will ultimately prove safe in humans. In the genomic medicine field, there have been several significant adverse events from gene therapy treatments in the past, including reported cases of leukemia and death. Product candidates we may develop may be associated with undesirable side effects, unexpected characteristics or other serious adverse events, including off-target cuts of DNA, or the introduction of cuts in DNA at locations other than the target sequence. These off-target cuts could lead to disruption of a gene or a genetic regulatory sequence at an unintended site in the DNA, or, in those instances where we also provide a segment of DNA to serve as a repair template, it is possible that following off-target cut events, DNA from such repair template could be integrated into the genome at an unintended site, potentially disrupting another important gene or genomic element. There is also the potential risk of delayed adverse events following exposure to genome editing therapy due to persistent biologic activity of the genetic material or other components of products used to carry the genetic material. Possible adverse side effects that could occur with treatment with genome editing products include an immunologic reaction after administration which could substantially limit the effectiveness of the treatment. If any of our genome editing technologies demonstrate a similar effect, we may decide or be required to halt or delay preclinical development or clinical development of any product candidates we may develop. In addition to serious adverse events or side effects caused by any product candidate we may develop, the administration process or related procedures also can cause undesirable side effects. If any such events occur, our preclinical studies or clinical trials could be delayed, suspended or terminated. There can be no assurance that our genome editing technologies will not cause severe or undesirable side effects.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in the future we are unable to demonstrate that such adverse events were caused by factors other than our product candidate, the FDA, the EMA or other comparable foreign regulatory authorities could order us to cease further clinical studies of, or deny approval of, any product candidates we develop for any or all targeted indications. Even if we are able to demonstrate that all future serious adverse events are not product-related, such occurrences could affect patient recruitment or the ability of enrolled patients to complete the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if we elect, or are required, to delay, suspend or terminate any clinical trial of any product candidate we may develop, the commercial prospects of such product candidates may be harmed and our ability to generate product revenues from any of these product candidates may be delayed or eliminated. Any of these occurrences may harm our ability to identify and develop product candidates, and may harm our business, financial condition, result of operations and prospects significantly.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Viral vectors, including the adeno-associated virus (“AAV”), which are relatively new approaches used for disease treatment, also have known side effects, and for which additional risks could develop in the future. In past clinical trials that were conducted by others with non-AAV vectors, significant side effects were caused by gene therapy treatments, including reported cases of myelodysplasia, leukemia and death. Other potential side effects could include an immunologic reaction and insertional oncogenesis, which is the process whereby the insertion of a functional gene near a gene that is important in cell growth or division results in uncontrolled cell division, which could potentially enhance the risk of cancer. If the vectors we use demonstrate a similar side effect, or other adverse events, we may be required to halt or delay further clinical development of any potential product candidates. Such delayed adverse events may also occur in other viral vectors, including AAV vectors.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side effects and adverse events caused by our product candidates, the conditioning, administration process or related procedures which may be used to condition a patient for gene therapy treatment also can cause adverse side effects and adverse events. A gene therapy patient is generally administered cytotoxic drugs to remove stem cells from the bone marrow to create sufficient space in the bone marrow for the modified stem cells to engraft and produce new cells. This procedure compromises the patient’s immune system, and conditioning regimens have been associated with adverse events in clinical trial participants.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if we successfully develop a product candidate and it receives regulatory approval, the FDA could require us to adopt a Risk Evaluation and Mitigation Strategy (“REMS”) to ensure that the benefits of treatment with such product candidate outweighs the risks for each potential patient, which may include, among other things, a medication guide outlining the risks of the product for distribution to patients, a communication plan to healthcare practitioners, extensive patient monitoring, or distribution systems and processes that are highly controlled, restrictive, and more costly than what is typical for the industry. Furthermore, if we or others later identify undesirable side effects caused by any product candidate that we may develop that receives regulatory approval, several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revoke licenses or suspend, vary or withdraw approvals of such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label;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change the way a product candidate is administered or conduct additional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these events could prevent us from achieving or maintaining market acceptance of our genome editing technology and any product candidates we may identify and develop and could have a material adverse effect on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Positive results from early preclinical studies of any product candidates we may develop may not necessarily be predictive of the results of later preclinical studies and any future clinical trials of such product candidates. If we cannot replicate the positive results from our earlier preclinical studies of any product candidates we may develop in our later preclinical studies and future clinical trials, we may be unable to successfully develop, obtain regulatory approval for and commercialize such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positive results from our preclinical studies of any product candidates we may develop may not necessarily be predictive of the results from later preclinical studies and clinical trials of such product candidates. Similarly, even if we are able to complete our planned preclinical studies or any future clinical trials of any product candidates we may develop according to our current development timeline, the positive results from such preclinical studies and clinical trials of our product candidates may not be replicated in subsequent preclinical studies or clinical trial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also consider additional delivery modes, which may carry additional known and unknown risks.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also consider additional delivery modes, which may carry additional known and unknown risks. For example, we intend to use lipid nanoparticles (“LNPs”) to deliver our nucleases. While LNPs have been used to deliver smaller molecules, such as small interfering RNA (“siRNA”), they have not been clinically proven to deliver large RNA molecules. Furthermore, as with many AAV-mediated gene therapy approaches, certain patients’ immune systems might prohibit the successful delivery, thereby potentially limiting treatment outcomes of these patients. Even if initial clinical trials in any of our potential product candidates we may develop are successful, these product candidates we may develop may fail to show the desired safety and efficacy in later stages of clinical development despite having successfully advanced through preclinical studies and initial clinical trials.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find it difficult to enroll patients in our future clinical trials given the limited number of patients who have the diseases any product candidates we identify or develop are intended to target. If we experience delays or difficulties in the enrollment of patients in clinical trials, our clinical development activities and our receipt of necessary regulatory approvals could be delayed or prevented.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progress our programs, we may not be able to initiate or continue clinical trials for any product candidates we identify or develop if we are unable to locate and enroll a sufficient number of eligible patients to participate in these trials as required by the FDA, the EMA or other comparable regulatory authorities outside the United States, or as needed to provide appropriate statistical power for a given trial. Enrollment may be particularly challenging for some of the rare genetically defined diseases we are targeting in some of our discovery programs. In addition, if patients are unwilling to participate in our genome editing trials because of negative publicity from adverse events related to the biotechnology, gene therapy or genome editing fields, competitive clinical trials for similar patient populations, clinical trials in competing product candidates or for other reasons, the timeline for recruiting patients, conducting studies and obtaining regulatory approval of our potential product candidates may be delayed. Moreover, some of our competitors may have ongoing clinical trials for product candidates that would treat the same indications as our potential product candidates, and patients who would otherwise be eligible for our future clinical trials may instead enroll in clinical trials of our competitors’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Patient enrollment is also affected by other factors, some of which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severity of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size of the patient population and process for identifying patients, including proximity and availability of clinical trial sites for prospective patients with conditions that have small patient pools;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 of the trial protocol, including efforts to facilitate timely enrollment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and efficacy of approved medications for the disease under investigation;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genetic testing for potential patients and ability to monitor patients adequately during and after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obtain and maintain patient informed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 that enrolled patients will drop out before completion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eligibility and exclusion criteria for the trial in question;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perceived risks and benefits of the product candidate under trial and genome editing as a therapeutic approach;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referral practices of physicians.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ability to successfully initiate, enroll and complete a clinical trial in any foreign country is subject to numerous risks unique to conducting business in foreign countries, some of which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establishing or managing relationships with clinical research organizations (“CROs”) and physicians;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standards for the conduct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different standard-of-care for patients with a particular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locating qualified local consultants, physicians and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burden of complying with a variety of foreign laws, medical standards and regulatory requirements, including the regulation of pharmaceutical and biotechnology products and treatment and of genome editing technologies.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Enrollment delays in our future clinical trials may result in increased development costs for our potential product candidates, which would cause the value of our company to decline and limit our ability to obtain additional financing. If we or our collaborators have difficulty enrolling a sufficient number of patients to conduct our future clinical trials as planned, we may need to delay, limit or terminate ongoing or planned clinical trials or entire clinical programs, any of which would have an adverse effect on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Genetic therapies are novel, and any product candidates we develop may be complex and difficult to manufacture. We could experience delays in satisfying regulatory authorities or production problems that result in delays in our development programs, limit the supply of the product candidates we may develop or otherwise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candidates we may develop will likely require processing steps that are more complex than those required for most chemical pharmaceuticals. Moreover, unlike chemical pharmaceuticals, the physical and chemical properties of a biologic such as the product candidates we intend to develop generally cannot be fully characterized. As a result, assays of the finished product candidate may not be sufficient to ensure that the product candidate will perform in the intended manner. Problems with the manufacturing process, even minor deviations from the normal process, could result in product defects or manufacturing failures that result in lot failures, product recalls, product liability claims, insufficient inventory or potentially delay progression of our potential IND filings. If we successfully develop product candidates, we may encounter problems achieving adequate quantities and quality of clinical-grade materials that meet the FDA, the EMA or other comparable applicable foreign standards or specifications with consistent and acceptable production yields and costs. For example, the current approach of manufacturing AAV vectors may fall short of supplying required number of doses needed for advanced stages of preclinical studies or clinical trials, and the FDA may ask us to demonstrate that we have the appropriate manufacturing processes in place to support the higher-dose group in our preclinical studies or clinical trials. In addition, any product candidates we may develop will require complicated delivery methods, each of which will introduce additional complexities in the manufacturing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FDA, the EMA and other regulatory authorities may require us to submit samples of any lot of any approved product together with the protocols showing the results of applicable tests at any time. Under some circumstances, the FDA, the EMA or other regulatory authorities may require that we not distribute a lot until the agency authorizes its release. Slight deviations in the manufacturing process, including those affecting quality attributes and stability, may result in unacceptable changes in the product that could result in lot failures or product recalls. Lot failures or product recalls could cause us to delay clinical trials or product launches, which could be costly to us and otherwise harm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nature of biologics manufacturing there is a risk of contamination during manufacturing. Any contamination could materially harm our ability to produce product candidates on schedule and could harm our results of operations and cause reputational damage. Some of the raw materials that we anticipate will be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any product candidates we may develop could adversely impact or disrupt the commercial manufacturing or the production of clinical material, which could materially harm our development timelines and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problems in our manufacturing process or the facilities with which we contract could make us a less attractive collaborator for potential partners, including larger pharmaceutical companies and academic research institutions, which could limit our access to additional attractive development programs. Problems in third-party manufacturing process or facilities also could restrict our ability to ensure sufficient clinical material for any clinical trials we may be conducting or are planning to conduct and meet market demand for any product candidates we develop and commercialize.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drug products is highly competitive. Moreover, the genome editing field is characterized by rapidly changing technologies, significant competition and a strong emphasis on intellectual property. We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or other intellectual property protection and establish collaborative arrangements for research, development, manufacturing and commercialization.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a number of large pharmaceutical and biotechnology companies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while others are based on entirely different approaches.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Amongst publicly traded peers, there are several companies utilizing CRISPR/Cas technology, including Caribou Biosciences, Inc., Editas Medicine, Inc., CRISPR Therapeutics AG and Intellia Therapeutics, Inc. Several additional companies such as Sangamo Therapeutics, Inc., Precision BioSciences, Inc., and Cellectis Inc. utilize alternative nuclease-based genome editing technologies, including zinc finger nucleases (“ZFNs”), engineered meganucleases and transcription-activator like effector nucleases (“TALENs”). Beam Therapeutics and Verve Therapeutics, Inc. (acquired by Eli Lilly and Company) utilize base editing technology. Prime Medicine utilizes prime editing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Tessera Therapeutics, Inc. has announced their work in recombinase DNA and RNA gene writers, although, as a privately-held company, less is known publicly about their science or portfolio. Other companies such as nChroma Bio and Tune Therapeutics, Inc. are focused on epigenetic editing. In addition, we face competition from companies utilizing gene therapy, oligonucleotides and cell therapy therapeutic approaches.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Several private companies such as Arbor Biotechnologies, Inc., Scribe Therapeutics Inc., and Mammoth Biosciences, Inc. are actively searching for novel genome editing components and have reported the discovery of new DNA-cutting enzymes. Other companies are active in LNP delivery technologies and advancing those into therapeutics using genetic therapies, including Recode Therapeutics, Inc., Verve Therapeutics, Inc. (acquired by Eli Lilly and Company), Generation Bio Co. and Beam Therapeutics, among others.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product candidates that we successfully develop and commercialize will compete with existing therapies and new therapies that may become available in the future that are approved to treat the same diseases for which we may obtain approval for any product candidates we may develop. This may include other types of therapies, such as small molecule, antibody and/or protein therapies. For example, valoctocogene roxaparvovec, the first hemophilia A gene therapy, was conditionally approved for use in Europe in August 2022 and was approved in the United States in June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Many of our current or potential competitors, either alone or with their collaboration partners, may have significantly greater financial resources and expertise in research and development, manufacturing, conducting preclinical studies and clinical trials, obtaining regulatory approvals and marketing approved products than we do. Mergers and acquisitions in the pharmaceutical, biotechnology and gene therapy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FDA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potential product candidates uneconomical or obsolete, and we may not be successful in marketing any product candidates we may develop against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as a result of the expiration or successful challenge of our patent or other intellectual property rights, we could face risks relating to our ability to successfully prevent or delay launch of competitors’ products. The availability of our competitors’ products could limit the demand and the price we are able to charge for any product candidates that we may develop and commercialize.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Adverse public perception of genome editing and cellular therapy products may negatively impact demand for, or regulatory approval of, any product candidates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product candidates we may develop will involve editing the human genome. The clinical and commercial success of any product candidates we may develop will depend in part on public acceptance of the use of genome editing therapies for the prevention or treatment of human diseases. Public attitudes may be influenced by claims that genome editing is unsafe, unethical, or immoral, and, consequently, our products may not gain the acceptance of the public or the medical community. Negative public reaction to gene therapy in general could result in greater government regulation and stricter labeling requirements of genome editing products, including any of our product candidates, and could cause a decrease in the demand for any products we may develop. Adverse public attitudes may adversely impact our ability to enroll clinical trials. Additionally, ethical, social and legal concerns about genome editing and gene therapy could result in additional regulations restricting or prohibiting any product candidates we may develop.</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commercial success of any of the product candidates we may develop will depend upon the degree of market acceptance by physicians, patients, third-party payors and others in the medical community.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obtain the requisite approvals from the FDA in the United States, the EC in the European Union and other regulatory authorities internationally, the commercial success of any product candidates we may develop will depend, in part, on the acceptance of physicians, patients and health care payors of genome editing and gene therapy products in general, and our product candidates in particular, as medically necessary, cost-effective and safe. Any product that we commercialize may not gain acceptance by physicians, patients, health care payors and others in the medical community who may opt for existing treatments with which they are already familiar and for which greater clinical data may be available. The degree of market acceptance of genome editing and gene therapy products and, in particular, any product candidates we may develop, if approved for commercial sale, will depend on several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durability and safety of such product candidates as demonstrated in any future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such product candidates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relative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 candidate is approved by the FDA, the EC or other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 awareness of, and willingness to seek, genotyping;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physicians to prescribe new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willingness of the target patient population to try new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any side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labeling or product insert requirements of the FDA, the EMA or other regulatory authorities, including any limitations or warnings contained in a product’s approved labeling;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strength of marketing and distribution support;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of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publicity concerning our products or competing products and treatments;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sufficient third-party payor coverage and reimbursement.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a potential product displays a favorable efficacy and safety profile in preclinical studies and future clinical trials, market acceptance of the product will not be fully known until after it is launched. If any product candidates we may develop do not achieve an adequate level of acceptance following regulatory approval, if ever, we may not generate significant product revenue and may not become profitable.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limited financial and managerial resources. As a result, we may forego or delay pursuit of opportunities with other product candidates or for other indications that later prove to have greater commercial potential. Our resource allocation decisions may cause us to fail to timely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in the future, we are unable to establish sales and marketing capabilities or enter into agreements with third parties to sell and market products based on our technologies, we may not be successful in commercializing our future product candidates if and when any such product candidates are approved and we may not be able to generate any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a sales or marketing infrastructure and, as a company, have no experience in the sale, marketing or distribution of therapeutic products. To achieve commercial success for any potential approved product candidate for which we retain sales and marketing responsibilities, we must build our sales, marketing, managerial and other non-technical capabilities or make arrangements with third parties to perform these services. In the future, we may choose to build a focused sales and marketing infrastructure to sell, or participate in sales activities with our collaborators for, some of our product candidates if and when they are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Factors that may inhibit our efforts to commercialize our product candidates on our own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recruit, train and retain adequate numbers of effective sales and marketing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sales personnel to obtain access to physicians or persuade adequate numbers of physicians to prescribe any future product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lack of complementary treatments to be offered by sales personnel, which may put us at a competitive disadvantage relative to companies with more extensive product lines;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costs and expenses associated with creating an independent sales and marketing organization.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enter into arrangements with third parties to perform sales, marketing and distribution services, our product revenue or the profitability to us from these revenue streams is likely to be lower than if we were to market and sell any product candidates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may not be successful in commercializing our product candidates. Further, our business, results of operations, financial condition and prospects will be materially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Due to the novel nature of our technology and the potential for any product candidates we may develop to offer therapeutic benefit in a single administration or limited number of administrations, we face uncertainty related to pricing and reimbursement for such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initial target patient populations are relatively small, as a result of which the pricing and reimbursement of any product candidates we may develop, if approved, must be adequate to support the necessary commercial infrastructure. If we are unable to obtain adequate levels of reimbursement, our ability to successfully market and sell any such product candidates will be adversely affected. The manner and level at which reimbursement is provided for services related to any product candidates we may develop (e.g., for administration of our product candidate to patients) is also important. Inadequate reimbursement for such services may lead to physician and payor resistance and adversely affect our ability to market or sell our product candidates. In addition, we may need to develop new reimbursement models in order to realize adequate value. Payors may not be able or willing to adopt such new models, and patients may be unable to afford that portion of the cost that such models may require them to bear. If we determine such new models are necessary but we are unsuccessful in developing them, or if such models are not adopted by payors, our business, financial condition, results of operations, and prospects could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the cost of a single administration of a genome editing therapy, such as those we are seeking to develop, to be substantial, when and if they achieve regulatory approval. We expect that coverage and reimbursement by government and private payors will be essential for most patients to be able to afford these treatments. Accordingly, sales of any such product candidates will depend substantially, both domestically and abroad, on the extent to which the costs of any of our product candidates will be paid by government authorities, private health plans, and other third-party payors. Payors may not be willing to pay high prices for a single administration. Coverage and reimbursement by a third-party payor may depend upon several factors, including the third-party payor’s determination that use of a product 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cost-effective;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Obtaining coverage and reimbursement for a product from third-party payors is a time-consuming and costly process that could require us to provide to the payor supporting scientific, clinical, and cost-effectiveness data. There is significant uncertainty related to third-party coverage and reimbursement of newly approved products. We may not be able to provide data sufficient to gain acceptance with respect to coverage and reimbursement. If coverage and reimbursement are not available, or are available only at limited levels, we may not be able to successfully commercialize any of our product candidates. Even if coverage is provided, the approved reimbursement amount may not be adequate to realize a sufficient return on 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no uniform policy exists for coverage and reimbursement for products among third-party payors. Therefore, decisions regarding the extent of coverage and amount of reimbursement to be provided can differ significantly from payor to payor. The process for determining whether a payor will provide coverage for a product may be separate from the process for setting the reimbursement rate a payor will pay for the product. One third-party payor’s decision to cover a particular product or service does not ensure that other payors will also provide coverage for the medical product or service. Third-party payors may limit coverage to specific products on an approved list or formulary, which may not include all FDA-approved products for a particular indication.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third-party payors are increasingly challenging the price and examining the medical necessity and cost-effectiveness of medical products and services, in addition to their safety and efficacy. In order to secure coverage and reimbursement for any product that might be approved for sale, we may need to conduct expensive pharmacoeconomic studies in order to demonstrate the medical necessity and cost-effectiveness of any product candidates we may develop, in addition to the costs required to obtain FDA or comparable regulatory approvals. Additionally, we may also need to provide discounts to purchasers, private health plans or government healthcare programs. Despite our best efforts, any product candidates we may develop may not be considered medically necessary or cost-effective. If third-party payors do not consider a product to be cost-effective compared to other available therapies, they may not cover an approved product as a benefit under their plans or, if they do, the level of payment may not be sufficient to allow us to sell our products at a profit. A decision by a third-party payor not to cover a product could reduce physician utilization once the product is approved and have a material adverse effect on sales, our operations and financial condition. Finally, in some foreign countries, the proposed pricing for a product candidate must be approved before it may be lawfully marketed. The requirements governing product pricing vary widely from country to country. For example, in the EU, pricing and reimbursement of pharmaceutical products are regulated at a national level under the individual EU Member States’ social security systems. Some foreign countries provide options to restrict the range of medicinal products for which their national health insurance systems provide reimbursement and can control the prices of medicinal products for human use. To obtain reimbursement or pricing approval, some of these countries may require the completion of clinical trials that compare the cost effectiveness of a particular product candidate to currently available therapies. A country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products will allow favorable reimbursement and pricing arrangements for any of our product candidates. Even if approved for reimbursement, historically, product candidates launched in some foreign countries, such as some countries in the EU, do not follow price structures of the United States and prices generally tend to be significantly lower.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not able to establish collaborations on a timely basis, on commercially reasonable terms, or at all, we may have to alter, reduce or delay our development and commercialization plans, or increase our expenditures to fund development or commercialization activities at our own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some of the product candidates we may develop, we may decide to collaborate with other pharmaceutical and biotechnology companies for the development and potential commercialization of those product candidates. We face significant competition in seeking appropriate collaborations and collaborations are complex and time-consuming to negotiate and document.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EMA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be restricted under existing collaboration agreements from entering into future collaboration agreements on certain terms with potential collaborators. In addition, there have been a significant number of recent business combinations among large pharmaceutical companies that have resulted in a reduced number of potential future collaborators, which further increases competition we face in seeking potential collaborations.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develop product candidates or bring them to market and generate product revenue.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Unfavorable global economic conditions could adversely affect our business,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global economy, geopolitical tensions and in the global financial markets. A severe or prolonged economic downturn or additional global financial and political crises could result in a variety of risks to our business, including weakened demand for any product candidates we develop or our ability to raise additional capital when needed on acceptable terms, if at all. A weak or declining economy could also strain our suppliers or other third parties and create import and export issues,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future geopolitical landscape also remains particularly uncertain as a result of evolving U.S. and foreign political developments. Any resulting changes in international trade relations, legislation and regulations, including those related to trade tariffs, taxation, and importation, or economic and monetary policies, or heightened diplomatic tensions or political and civil unrest, among other potential impacts, could adversely impact the global economy and our operating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risks related to health epidemics, pandemics and other widespread outbreaks of contagious disease, which could significantly disrupt our operations, impact our financial results or otherwise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outbreaks of contagious diseases and other adverse public health developments could have a material impact on our business operations and operating results. As a result of public health crises that may arise, we may experience disruptions that could adversely impact our operations, research and development, and as we continue developing, any preclinical studies, clinical trials and manufacturing activities we may conduct, some of which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disruptions in research programs, preclinical studies, clinical trials or IND-enabling studies that we or our collaborators may conduct;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or delays in the operations of the FDA, the EMA and comparable foreign regulatory agencies;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or delays in receiving and distributing, supplies of drug substance and drug product from our contract manufacturing organizations (“CMOs”), to preclinical or clinical research sites or delays or disruptions in any preclinical studies or clinical trials performed by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limitations imposed on our business operations by local, state or federal authorities to address a pandemic or similar public health crises;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disruptions caused by potential workplace, laboratory and office closures and an increased reliance on employees working from home, disruptions to or delays in ongoing laboratory experiments and operations, staffing shortages, travel limitations, and cybersecurity and data accessibility or security issues.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any of the third parties with whom we engage were to experience additional shutdowns or other business disruptions as a result of future health epidemics, pandemics and other widespread outbreaks of contagious disease, our ability to conduct our business in the manner and on the timelines presently planned could be materially and negatively affected, which could have a material adverse impact on our business, financial condition, our results of operations and prospects. Furthermore, public health crises could exacerbate the other risks described in this section.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operations are vulnerable to interruption by disasters, terrorist activity, pandemics and other events beyond our control, which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facilities are located in California. We have not undertaken a systematic analysis of the potential consequences to our business and financial results from a major flood, power loss, terrorist activity, pandemics or other regional or global disasters and generally do not have a recovery plan for such events.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use artificial intelligence in our business, and challenges with properly managing its use, as well as uncertainty regarding the legal landscape surrounding the use of AI could result in reputational harm, competitive harm, and legal liability, and adversely affect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incorporate artificial intelligence (“AI”) solutions into our platform, and these applications may become important in our operations over time. There are significant risks involved in utilizing AI and no assurance can be provided that the usage of such AI will enhance our business or assist our business in being more efficient or profitable. If we enable or offer solutions that draw controversy due to perceived or actual negative societal impact, we may experience brand or reputational harm, competitive harm or legal liability. Known risks of AI currently include inaccuracy, bias, toxicity, intellectual property infringement or misappropriation, data privacy risks and cybersecurity and data provenance challenged, among other risks. In addition, AI may have errors or inadequacies that are not easily detectable. AI may also be subject to data herding and interconnectedness (i.e., multiple market participants utilizing the same data), which may adversely impact our business. If the data used to train AI or the content, analyses, or recommendations that AI applications assist in producing are or are alleged to be deficient, inaccurate, incomplete, overbroad or biased, our business, financial condition, and results of operations may be adversely affected. The legal landscape and subsequent legal protection for the use of AI remains uncertain, and development of the law in this area could impact our ability to enforce our proprietary rights or protect against infringing uses. If we do not have sufficient rights to use the data on which AI relies or to the outputs produced by AI applications, we may incur liability through the violation of certain laws, third-party privacy or other rights or contracts to which we are a party.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we expect to see increasing government and supranational regulation related to artificial intelligence use and ethics, which may also significantly increase the burden and cost of research, development and compliance in this area. For example, the EU’s Artificial Intelligence Act (“AI Act”) — the world’s first comprehensive AI law — which entered into force on August 1, 2024 and most provisions of which will become effective on August 2, 2026. This legislation imposes significant obligations on providers and deployers of high risk artificial intelligence systems, and encourages providers and deployers of artificial intelligence systems to account for EU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Likewise, in the U.S., a number of states have proposed and passed laws regulating various uses of AI, and federal regulators have issued guidance affecting the use of AI in regulated sectors. For example, the FDA has issued draft guidance on the use of AI to produce information or data intended to support regulatory decision-making regarding the safety, effectiveness, or quality of drugs and biological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in the absence of dedicated AI laws and regulations, we may be subject to novel legal and business risks relating to our adoption of these new technologies. Our vendors may in turn incorporate AI tools into their own offerings, and the providers of these AI tools may not meet existing or rapidly evolving regulatory or industry standards, including with respect to privacy and data security. Bad actors around the world use increasingly sophisticated methods, including the use of AI, to engage in illegal activities involving the theft and misuse of personal information, confidential information, and intellectual property. Use of generative AI models in our internal or third-party systems may create new attack surfaces or methods for adversaries, which could impact us and our vendors. The integration of AI systems, by us or by our vendors, may increase cybersecurity risk that implicates the personal information of customers or patients. Any cybersecurity incidents or data breaches related to our use of AI applications could adversely affect our reputation and results of operations.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Regulatory, Legal, and Clinical Trials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While we intend to seek designations for our potential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potential product candidates are granted such designations, we may not be able to realize the intended benefits of such designations.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However, there can be no assurance that we will successfully obtain such designations for any potential product candidates. In addition, while such designations could expedite the development or approval process, they generally do not change the standards for approval. Even if we obtain such designations for one or more of our potential product candidates, there can be no assurance that we will realize their intended benefits. For example, we may seek fast track designation for some of our potential product candidates. If a therapy is intended for the treatment of a serious or life threatening condition and the therapy nonclinical or clinical data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 Additionally, we may seek a breakthrough therapy designation for some of our potential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may also be eligible for accelerated approval. Designation as a breakthrough therapy is within the discretion of the FDA. Accordingly, even if we believe one of our potential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potential product candidates qualify as breakthrough therapies, the FDA may later decide that such product candidates no longer meet the conditions for qualification. In addition, we may seek a regenerative medicine advanced therapy (“RMAT”) designation for some of our potential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biologics license application (“BLA”) for an RMAT may be eligible for priority review or accelerated approval through (1) surrogate or intermediate endpoints reasonably likely to predict long-term clinical benefit or (2) reliance upon data obtained from a meaningful number of sites. Benefits of such designation also include early interactions with the FDA to discuss any potential surrogate or intermediate endpoint to be used to support accelerated approval. A regenerative medicine therapy that is granted accelerated approval and is subject to post-approval requirements may fulfill such requirements through the submission of clinical evidence, clinical trials,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potential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potential product candidates qualify as for RMAT designation, the FDA may later decide that the biological products no longer meet the conditions for qualification. We may also seek rare pediatric disease designation for some of our potential product candidates. The FDA defines “rare pediatric disease” as a (i) serious or life-threatening disease in which the serious or life-threatening manifestations primarily affect individuals aged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(“PRV”) at the time the application is approved. Under the FD&amp;C Act, we will need to request a rare pediatric disease PRV in our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original marketing application for any potential product candidates for which we have received rare pediatric disease designation. The FDA may determine that a marketing application for any such product candidates, if approved, does not meet the eligibility criteria for a PRV. The FDA is currently authorized by Congress to award rare pediatric disease priority review vouchers through September 30, 2029. However, it is possible the authority for FDA to award rare pediatric disease priority review vouchers will be further extended by Congress.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future, we may also seek approval of product candidates under the FDA’s accelerated approval pathway. A product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or on a clinical endpoint that can be measured earlier than irreversible morbidity or mortality (“IMM”) that is reasonably likely to predict an effect on IMM or other clinical benefit. The FDA considers a clinical benefit to be a positive therapeutic effect that is clinically meaningful in the context of a given disease, such as IMM.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verity and describe the drug’s clinical benefit. Under the Food and Drug Omnibus Reform Act of 2022 (“FDORA”), the FDA is permitted to require, as appropriate, that a post-approval confirmatory study or studies be underway prior to approval or within a specified time period after the date of approval for a product granted accelerated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There can be no assurance that the FDA would allow any of the product candidates we may develop to proceed on an accelerated approval pathway, and even if the FDA did allow such pathway, there can be no assurance that such submission or application will be accepted or that any expedited development, review or approval will be granted on a timely basis, or at all. Moreover, even if we received accelerated approval, any post-approval studies required to confirm and verify clinical benefit may not show such benefit, which could lead to withdrawal of any approvals we have obtained. Receiving accelerated approval does not assure that the product’s accelerated approval will eventually be converted to a traditional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the product candidates that we may develop.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the European Union, we may seek to participate in the EMA’s PRIority MEdicines (“PRIME”) scheme for our potential product candidates. The PRIME scheme is intended to encourage development of products in areas of unmet medical need and provides accelerated assessment of products representing substantial innovation, where the marketing authorization application will be made through the centralized procedure in the European Union. Products from small- and medium-sized enterprises may qualify for earlier entry into the PRIME scheme than larger companies on the basis of compelling non-clinical data and tolerability data from initial clinical trials. Eligible products must target conditions for which there is an unmet medical need (no treatment option exists in the European Union or, they can offer a major therapeutic advantage over existing treatments). Many benefits accrue to sponsors of product candidates with PRIME designation, including but not limited to, early and proactive regulatory dialogue with the EMA, frequent discussions on clinical trial designs and other development program elements, and accelerated marketing authorization application assessment once a dossier has been submitted. There is no guarantee, however, that our potential product candidates would be deemed eligible for the PRIME scheme and even if we do participate in the PRIME scheme, where during the course of development a product no longer meets the eligibility criteria, support under the PRIME scheme may be withdrawn. PRIME eligibility does not change the standards for product approval, and there is no assurance that any such designation or eligibility will result in expedited review or approval.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Healthcare and other reform legislation may increase the difficulty and cost for us and any collaborators we may have to obtain regulatory approval of and commercialize any product candidates we may develop and affect the prices we, or they, may obtain.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and continue to be ongoing efforts to implement legislative and regulatory changes regarding the healthcare system. Such changes could prevent or delay regulatory approval of any product candidates that we may develop, restrict or regulate post-approval activities and affect our ability to profitably sell any product candidates for which we obtain regulatory approval. Although we cannot predict what healthcare or other reform efforts will be successful, such efforts may result in more rigorous coverage criteria, in additional downward pressure on the price that we, or our future collaborators, may receive for any approved products or in other consequences that may adversely affect our ability to achieve or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Within the United States, the federal government and individual states have aggressively pursued healthcare reform, as evidenced by the passing of the Affordable Care Act, as amended by the Health Care and Education Reconciliation Act of 2010 (collectively, the “ACA”), and the ongoing efforts to modify or repeal that legislation. The ACA significantly changed the way healthcare is financed by both governmental and private insurers and contains a number of provisions that affect coverage and reimbursement of drug products and/or that could potentially reduce the demand for pharmaceutical products such as increasing drug rebates under state Medicaid programs for brand name prescription drugs and extending those rebates to Medicaid managed care and assessing a fee on manufacturers and importers of brand name prescription drugs reimbursed under certain government programs, including Medicare and Medicaid. Other aspects of healthcare reform, such as expanded government enforcement authority and heightened standards that could increase compliance-related costs, could also affect our business. Modifications have been implemented under the former Trump administration and additional modifications or repeal may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also been executive, judicial, and congressional challenges to certain aspects of the ACA. It is unclear how other healthcare reform measures of the presidential administration or other efforts, if any, to challenge, repeal or replace the ACA will impact our business. There is no assurance that federal or state healthcare reform will not adversely affect our future business and financial results, and we cannot predict how future federal or state legislative, judicial or administrative changes relating to healthcare reform will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For example, the American Rescue Plan Act of 2021 eliminated the statutory Medicaid drug rebate cap, previously set at 100 percent of a drug’s average manufacturer price, for single source and innovator multiple source drugs, beginning January 1, 2024. The U.S. Budget Control Act of 2011 and subsequent legislation, among other things, included aggregate reductions of Medicare payments to providers of 2% per fiscal year, which remain in effect through 2032. The American Taxpayer Relief Act of 2012 further reduced Medicare payments to several providers, including hospitals, imaging centers and cancer treatment centers, and increased the statute of limitations period for the government to recover overpayments to providers from three to five years.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there has been increasing legislative and enforcement interest in the United States with respect to drug pricing practices, which has resulted in several U.S. Congressional inquiries and federal and state legislation designed to, among other things, bring more transparency to drug pricing, reduce the cost of prescription drugs, and review the relationship between pricing and manufacturer patient programs. The Inflation Reduction Act of 2022 (the “IRA”), for example, includes several provisions that may impact our business to varying degrees, including provisions that reduce the out-of-pocket spending cap for Medicare Part D beneficiaries to $2,000 starting in 2025, eliminating the prescription drug coverage gap; impose new manufacturer financial liability on certain drugs under Medicare Part D, allow the U.S. government to negotiate Medicare Part B and Part D price caps for certain high-cost drugs and biologics without generic or biosimilar competition; require companies to pay rebates to Medicare for certain drug prices that increase faster than inflation; and delay until January 1, 2032 the implementation of an HHS rebate rule that would have limited the fees that pharmacy benefit managers can charge. Further, under the IRA, orphan drugs were previously exempted from the Medicare drug price negotiation program; however, this exemption was restricted to drugs with only one orphan designation and for which the only approved indication is for that disease or condition. If a product received multiple orphan designations or had multiple approved indications, it would not qualify for the orphan drug exemption. Under the OBBBA, this restriction was eliminated; and effective for the 2028 initial price applicability year, all orphan drugs, regardless of the number of orphan designations or indications, are exempt from the Medicare drug price negotiation program. The effects of the IRA on our business and the healthcare industry in general is not yet known.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One Big Beautiful Bill Act of 2025 (“OBBBA”) imposed significant reductions in Medicaid funding, additional work requirements for Medicaid recipients, and more frequent reenrollment requirements. These changes are expected to place substantial pressure on state Medicaid budgets, reduce enrollment, and limit covered services, which could decrease utilization of, and reimbursement for, our products,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costs of prescription pharmaceuticals have also been the subject of considerable discussion in the United States. To date, there have been several recent U.S. congressional inquiries, as well as proposed and enacted federal and state legislation designed to, among other things, bring more transparency to drug pricing, review the relationship between pricing and manufacturer patient programs, reduce the costs of drugs under Medicare and reform government program reimbursement methodologies for drug products. The Trump Administration has issued executive orders and supported proposed regulatory initiatives in 2025 that could have a significant impact on the prices that we, or any collaborators, may receive for any approved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May 12, 2025, President Trump signed an executive order directing the Secretary of HHS to set and communicate most-favored-nation (“MFN”) price targets to manufacturers and propose a rulemaking plan to impose MFN pricing if “significant progress” is not made, and also directing the federal government to support regulatory paths to allow direct-to-patient sales for companies that meet these targets. The executive order further states that the Administration will take additional action (for example, examining whether marketing approvals should be modified or rescinded or considering individual drug importation waiver authorities) should manufacturers fail to offer American consumers the MFN lowest price. In July 2025, President Trump sent letters to certain pharmaceutical companies demanding that these companies extend MFN pricing to Medicaid and newly launched drugs as well as move to direct-to-consumer models priced at MFN pricing, and soliciting binding commitments by September 29, 2025. Since this time, multiple drug manufacturers have announced plans to, for certain of their drugs, lower prices to reflect similar pricing around the world, and to sell these reduced-price drugs on a direct-to-consumer purchasing platform developed by the federal government; however, it is not known what results will occur to the extent the recipients of these letters do not reduce their U.S. prices.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19, 2025, CMS released two proposed rules that would incorporate MFN pricing principles into federal reimbursement for prescription drugs. The first proposal, the Global Benchmark for Efficient Drug Pricing Model (“GLOBE”) for Medicare Part B, would require manufacturers of specified single source drugs and sole source biologics to pay incremental rebates based on international benchmark prices, with participation triggered for products meeting CMS’s spending and eligibility criteria. The second proposal, the Guarding U.S. Medicare Against Rising Drug Costs (“GUARD”) model for Medicare Part D, would similarly mandate manufacturer rebates for qualifying sole source drugs where the Medicare net price exceeds an MFN benchmark derived from international reference pricing methodologies. As proposed, GLOBE would begin a five year performance period on October 1, 2026 and GUARD would begin its performance period in 2027. These proposals will likely be subject to legal challenges that could delay their implementation or modify their impact on manufacturer pricing and revenue. Additionally, in November 2025, CMS introduced the GENErating cost Reductions fOr U.S. Medicaid (“GENEROUS”) Model, a voluntary MFN framework for manufacturers participating in the Medicaid Drug Rebate Program. Although it is voluntary, the GENEROUS Model could also impact the drug pricing landscape for manufacturers.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effect of these healthcare reform initiatives on our business and the pharmaceutical industry in general is not yet known, but could be substantial and materially adverse to our ability to successfully commercialize our product candidates at profitable price points.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demand for our product candidates, if we obtain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set a price that we believe is fair for our approved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generate revenue and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taxes that we are required to pay;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reduction in reimbursement from Medicare or other government programs may result in a similar reduction in payments from private payors, which may adversely affect our future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and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or put pressure on our drug pricing, which could negatively affect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Because we are developing product candidates in the field of genetic medicines in which there is little clinical experience, there is increased risk that the FDA, the EMA or other regulatory authorities may not consider the endpoints of our clinical trials to provide clinically meaningful results and that these results may be difficult to analyze.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order to proceed into clinical development of any product candidates we identify, we will need to submit INDs or clinical trial applications to regulatory authorities and obtain regulatory clearance to commence clinical development. Because the product candidates we identify are based on novel gene-editing technology, we may be unsuccessful in obtaining clearance from regulatory authorities to proceed into clinical development. In order to commence clinical development, we will need to identify success criteria and endpoints such that the FDA, the EMA or other regulatory authorities will be able to determine the clinical efficacy and safety profile of any product candidates we may develop. As we are initially seeking to identify and develop product candidates to treat diseases in which there is little clinical experience using new technologies, and while we may have opportunities to discuss our clinical development plans with regulatory authorities prior to commencing clinical development, there is heightened risk that the FDA, the EMA or other regulatory authorities may not consider the clinical trial endpoints that we propose to provide clinically meaningful results (reflecting a tangible benefit to patients). In addition, the resulting clinical data and results may be difficult to analyze. Even if the FDA does find our success criteria to be sufficiently validated and clinically meaningful, we may not achieve the pre-specified endpoints to a degree of statistical significance. This may be a particularly significant risk for many of the genetically defined diseases for which we plan to develop product candidates because many of these diseases such as Primary Hyperoxaluria Type 1 have small patient populations, and designing and executing a rigorous clinical trial with appropriate statistical power is more difficult than with diseases that have larger patient populations.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even if we do achieve the pre-specified criteria, we may produce results that are unpredictable or inconsistent with the results of the non-primary endpoints or other relevant data. The FDA also weighs the benefits of a product against its risks, and the FDA may view the efficacy results in the context of safety as not being supportive of regulatory approval. Other regulatory authorities in the European Union and other countries may make similar comments with respect to these endpoints and data. Any product candidates we may develop will be based on a novel technology that makes it difficult to predict the time and cost of development and of subsequently obtaining regulatory approval. No genome editing therapeutic product has been approved in the United States or in Europe. Within the broader genome product field, only a limited number of gene therapy products, such as uniQure N.V.’s Glybera and Abecma from Bristol Myers Squibb and bluebird bio, have received marketing authorization or regulatory approval from the European Commission or the FDA. Some of these products have taken years to register and have had to deal with significant issues in their post-marketing experience.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preclinical studies or clinical trials of any product candidates we may identify and develop fail to demonstrate safety and efficacy to the satisfaction of regulatory authorities or do not otherwise produce positive results, we may incur additional costs or experience delays in completing, or ultimately be unable to complete, the development and commercialization of such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 from regulatory authorities for the sale of any product candidates we may identify and develop, we must complete preclinical development and then conduct extensive clinical trials to demonstrate the safety and efficacy in humans. Clinical testing is expensive, difficult to design and implement, can take many years to complete, and is uncertain as to outcome. A failure of one or more clinical trials can occur at any stage of testing. The outcome of preclinical testing and early clinical trials may not be predictive of the success of later clinical trials, and interim results of a clinical trial do not necessarily predict final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preclinical and clinical data are often susceptible to varying interpretations and analyses. Many companies that have believed their product candidates performed satisfactorily in preclinical studies and clinical trials have nonetheless failed to obtain regulatory approval of their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our collaborators, if any, may experience numerous unforeseen events during, or as a result of, clinical trials that could delay or prevent our ability to receive regulatory approval or commercialize any product candidates we may identify and develop,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a consensus with regulators on trial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IRBs, or independent ethics committees may not authorize us or our investigators to commence a clinical trial or conduct a clinical trial at a prospective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reaching or failing to reach agreement on acceptable clinical trial contracts or clinical trial protocols with prospective CROs and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trials of any product candidates we may develop may produce negative or inconclusive results, and we may decide, or regulators may require us, to conduct additional clinical trials or abandon product development or research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designing well-controlled clinical trials due to ethical considerations which may render it inappropriate to conduct a trial with a control arm that can be effectively compared to a treatment arm;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difficulty in designing clinical trials and selecting endpoints for diseases that have not been well-studied and for which the natural history and course of the disease is poorly understood;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patients required for clinical trials of any product candidates we may develop may be larger than we anticipate; enrollment of suitable participants in these clinical trials, which may be particularly challenging for some of the rare genetically defined diseases we are targeting in our most advanced programs, may be delayed or slower than we anticipate; or patients may drop out of these clinical trials at a higher rate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third-party contractors may fail to comply with regulatory requirements or meet their contractual obligations to us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regulators, IRBs, or independent ethics committees may require that we or our investigators suspend or terminate clinical research or clinical trials of any product candidates we may develop for various reasons, including noncompliance with regulatory requirements, a finding of undesirable side effects or other unexpected characteristics, or that the participants are being exposed to unacceptable health risks or after an inspection of our clinical trial operations or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clinical trials of any product candidates we may develop may be greater than we anticipate;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supply or quality of any product candidates we may develop or other materials necessary to conduct preclinical studies or clinical trials of any product candidates we may develop may be insufficient or inadequate, including as a result of delays in the testing, validation, manufacturing, and delivery of any product candidates we may develop to the preclinical study sites or clinical sites by us or by third parties with whom we have contracted to perform certain of those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having patients complete participation in a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sites dropping out of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selection of clinical endpoints that require prolonged periods of clinical observation or analysis of the resulting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occurrence of serious adverse events associated with any product candidates we may develop that are viewed to outweigh their potential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occurrence of serious adverse events in trials of the same class of agents conducted by other sponsors;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regulatory requirements and guidance that require amending or submitting new clinical protocols.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our collaborators are required to conduct additional clinical trials or other testing of any product candidates we may develop beyond those that we currently contemplate, if we or our collaborators are unable to successfully complete clinical trials or other testing of any product candidates we may develop, or if the results of these trials or tests are not positive or are only modestly positive or if there are safety concerns, we or our collaborators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delayed in obtaining regulatory approval for any such product candidates we may develop or not obtain regulatory approval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for indications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approval with labeling that includes significant use or distribution restrictions or safety warnings, including boxed warnings;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subject to changes in the way the product is administered;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required to perform additional clinical trials to support approval or be subject to additional post-marketing testing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regulatory authorities withdraw, or suspend, their approval of the product or impose restrictions on its distribution in the form of a REMS, or through modification to an existing REMS;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 sued;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damage to our reputation.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Product development costs will also increase if we or our collaborators experience delays in clinical trials or other testing or in obtaining regulatory approvals. We do not know whether any clinical trials will begin as planned, will need to be restructured, or will be completed on schedule, or at all. Significant clinical trial delays also could shorten any periods during which we may have the exclusive right to commercialize any product candidates we may develop, could allow our competitors to bring products to market before we do, and could impair our ability to successfully commercialize any product candidates we may develop, any of which may harm our business, financial condition, results of operations,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Even if we complete the necessary clinical trials, we cannot predict when, or if, we will obtain regulatory approval to commercialize a product candidate we may develop in the United States or any other jurisdiction, and any such approval may be for a more narrow indication than we seek.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commercialize a product candidate until the appropriate regulatory authorities have reviewed and approved the product candidate. Even if our product candidates meet their safety and efficacy endpoints in clinical trials, the regulatory authorities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authority policy during the period of product development, clinical trials, and the review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also may approve a product candidate for more limited indications than requested or they may impose significant limitations in the form of narrow indications, warnings or a REMS. These regulatory authorities may require labeling that includes precautions or contraindications with respect to conditions of use, or may grant approval subject to the performance of costly post-marketing clinical trials. In addition, regulatory authorities may not approve the labeling claims that are necessary or desirable for the successful commercialization of our product candidates. Any of the foregoing scenarios could materially harm the commercial prospects for our product candidates and materially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approval by the FDA in the United States, if obtained, does not ensure approval by regulatory authorities in other countries or jurisdictions. In addition, clinical trials conducted in one country may not be accepted by regulatory authorities in other countries, and regulatory approval in one country does not guarantee regulatory approval in any other country. Approval processes vary among countries and can involve additional product candidate testing and validation and additional administrative review periods. Seeking regulatory approval outside the United States could result in difficulties and costs for us and require additional preclinical studies or clinical trials which could be costly and time-consuming. Regulatory requirements can vary widely from country to country and could delay or prevent the introduction of our product candidates in those countries. The foreign regulatory approval process involves all of the risks associated with FDA approval.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 candidates will be unrealized.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Even if we, or any of our collaborators or strategic partners, obtain regulatory approvals for any product candidates we may develop, the terms of approvals and ongoing regulation of such product candidates could require the substantial expenditure of resources and may limit how we, or they, manufacture and market such product candidates, which could materially impair our ability to generate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product candidate for which we obtain regulatory approval, along with the manufacturing processes, post-approval clinical data, labeling, advertising and promotional activities for such product, will be subject to continual requirements of and review by the FDA, the EMA and other regulatory authorities. These requirements include submissions of safety and other post-marketing information and reports, facility registration and drug listing requirements, cGMP relating to quality control, quality assurance and corresponding maintenance of records and documents, applicable product tracking and tracing requirements and requirements regarding the distribution of samples to physicians and recordkeeping. In addition, our manufacturing and testing facilities will be required to undergo pre-license inspections and pre-approval inspections. Even if regulatory approval of a product candidate is granted, the approval may be subject to limitations on the indicated uses for which the products may be marketed or to the conditions of approval, or contain requirements for costly post-marketing testing and surveillance to monitor the safety or efficacy of the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Accordingly, assuming we, or any collaborators we may have, receive regulatory approval for one or more product candidates we develop, we, and such collaborators, and our and their contract manufacturers will continue to expend time, money and effort in all areas of regulatory compliance, including manufacturing, production, product surveillance and quality control. If we and such collaborators are not able to comply with post-approval regulatory requirements, we and such collaborators could have the regulatory approvals for our products withdrawn by regulatory authorities and our, or such collaborators’, ability to market any future products could be limited, which could adversely affect our ability to achieve or sustain profitability. Furthermore, the cost of compliance with post-approval regulations may have a negative effect on our business, operating results, financial condition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obtain orphan drug designation or exclusivity for our potential product candidates, and even if we do, that designation may not provide an expedited development or regulatory review or approval process and any orphan drug exclusivity we may receive for approved products may not prevent the FDA or the EMA from approving other competing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Orphan Drug Act, the FDA may designate a product candidate as an orphan drug if it is a drug or biologic intended to treat a rare disease or condition. A similar regulatory scheme governs approval of orphan product candidates by the EMA in the European Union. Generally, if a product with an orphan drug designation subsequently receives the first regulatory approval for the indication for which it has such designation, the product is entitled to a period of marketing exclusivity, which precludes the FDA or the EMA (as applicable) from approving another marketing application for another similar product candidate for the same orphan therapeutic indication for that time period. The applicable period is seven years in the United States and ten years in the European Union. The exclusivity period in the European Union can be reduced to six years if at the end of the fifth year it is determined that a product no longer meets the criteria for orphan designation, including if the product is sufficiently profitable so that market exclusivity is no longer justified.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for the FDA to grant orphan drug exclusivity to one of our potential product candidates, the agency must find that the product candidate is indicated for the treatment of a condition or disease that affects fewer than 200,000 individuals in the United States or that affects 200,000 or more individuals in the United States and for which there is no reasonable expectation that the cost of developing and making the product candidate available for the disease or condition will be recovered from sales of the product in the United States. In the European Union,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it is unlikely that the product, without the benefits derived from orphan status, would generate sufficient return in the European Union to justify the necessary investment in its development; and (3) there exists no satisfactory method of diagnosis, prevention or treatment of such condition authorized for marketing in the European Union, or if such a method exists, the product will be of significant benefit to those affected by the condition. The FDA or EMA may conclude that the condition or disease for which we seek orphan drug exclusivity does not meet this standard. Even if we obtain orphan drug exclusivity for a product candidate, that exclusivity may not effectively protect the product candidate from competition because different product candidates can be approved for the same approved use or condition. In addition, even after an orphan drug is approved, the FDA or EMA can subsequently approve the same product candidate for the same approved use or condition if the FDA or EMA (as applicable) concludes that the later product candidate is clinically superior in that it is shown to be safer, more effective or makes a major contribution to patient care compared with the product that has orphan exclusivity. Orphan drug exclusivity may also be lost if the FDA or EMA determines that the request for designation was materially defective or if the manufacturer is unable to assure sufficient quantity of the product to meet the needs of the patients with the rare disease or condition.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export control and import laws and regulations, including the U.S. Export Administration Regulations, U.S. Customs regulations, various economic and trade sanctions regulations administered by the U.S. Treasury Department’s Office of Foreign Assets Control, the U.S. Foreign Corrupt Practices Act of 1977, as amended (the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applicable environmental laws and regulations may be expensive, and current or future environmental laws and regulations may impair our research and product development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carry pollution insurance to protect against possible biological or hazardous waste accidents. However,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incur substantial costs in order to comply with current or future environmental, health, and safety laws, regulations, and permitting requirements. These current or future laws, regulations, and permitting requirements may impair our research, development, or production efforts. Failure to comply with these laws, regulations, and permitting requirements also may result in substantial fines, penalties, or other sanctions or business disruption, which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third-party contract manufacturers and suppliers we engage will also be subject to these and other environmental, health, and safety laws and regulations. Liabilities they incur pursuant to these laws and regulations could result in significant costs or an interruption in operations, which could have a material adverse effect on our business, financial condition, results of operations, and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or other misconduct by our employees, consultants and commercial partners, and, if we commence clinical trials, our principal investigators. Misconduct by these parties could include intentional failures to comply with FDA regulations or the regulations applicable in the European Union and other jurisdictions, provide accurate information to the FDA, the EMA and other regulatory authorities, comply with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the EMA or other regulatory authorities, which could result in regulatory sanctions and cause serious harm to our reputation. We are also exposed to risks in connection with any insider trading violations by employees or others affiliated with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adopted a code of conduct and an insider trading policy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financial condition, results of operations and prospects, including the imposition of significant fines or other sanctions.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Product liability lawsuits against us could cause us to incur substantial liabilities and could limit commercialization of any product candidates that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face an inherent risk of product liability exposure related to the testing of any product candidates we may develop in human clinical trials and will face an even greater risk if we commercially sell such product candidates. If we cannot successfully defend ourselves against claims that our product candidates caused injuries, we could incur substantial liabilities. Regardless of merit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any product candidates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clinical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costs to defend the related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participants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 of revenue;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any product candidates that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anticipate that we will need to increase our insurance coverage when we begin clinical trials and if we successfully commercialize any product candidate. Insurance coverage is increasingly expensive. We may not be able to maintain insurance coverage at a reasonable cost or in an amount adequate to satisfy any liability that may arise.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internal computer and information technology systems, or those of our third-party vendors, collaborators, contractors, consultants or other third parties, may fail, become unavailable, or suffer security incidents or data breaches, loss or leakage of data and other disruptions, which could result in a material disruption of our product development programs, compromise confidential, sensitive or personal information related to our business or prevent us from accessing critical information, potentially exposing us to liability or otherwise adversely affecting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internal computer and information technology systems and those of our current and any future third-party vendors, collaborators, contractors, consultants or other third parties, are vulnerable to damage or interruption from, among other things, malicious uses of AI, computer viruses, computer hackers, social engineering attacks (including phishing attacks), ransomware, malware, social engineering, service interruptions, system malfunction, malicious code, employee theft, fraud, misconduct or misuse, denial-of-service attacks, sophisticated nation-state and nation-state-supported actors, wrongful conduct by insider employees or vendors, unauthorized access, natural disasters, terrorism, war and telecommunication and electrical failures. While we seek to protect our information technology systems from system failure, accident and cybersecurity incidents or data breaches, we and our third-party vendors, like other companies in our industry, have in the past and may in the future experience cybersecurity incidents which could result in a disruption of our development programs and our business operations, whether due to a loss of our trade secrets or other proprietary, personal or confidential information or other disruptions. For example, the loss of clinical trial data from future clinical trials could result in delays in our regulatory approval efforts and significantly increase our costs to recover or reproduce the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Controls employed by our information technology department and other third parties could prove inadequate, and our ability to monitor such third parties’ data security practices is limited. Due to applicable laws, rules, regulations and standards or contractual obligations, we may be held responsible for any information security failure or cybersecurity attack attributed to our third-party vendors as they relate to the information we share with them.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were to experience a cybersecurity incident, data breach, or other security event relating to our information systems or data, the costs, time and effort associated with the investigation, remediation and potential notification of the breach to counterparties, regulators and data subjects could be material. We may incur significant costs in an effort to detect and prevent security incidents or data breaches, and we may face increased costs and requirements to expend substantial resources in the event of an actual or perceived security incident or data breach. In addition, techniques used to sabotage or to obtain unauthorized access to networks in which data is stored or through which data is transmitted change frequently, become more complex over time and generally are not recognized until launched against a target. The risk of a cybersecurity incident, data breach, or other security event, particularly through cyberattacks including supply chain attacks or cyber intrusion, including by computer hackers, foreign governments, and cyber terrorists, has generally increased as the number, intensity, and sophistication of attempted attacks and intrusions from around the world have increased. These attacks and activity are also being facilitated or enhanced by evolving technologies, including AI. As a result, we and our third-party vendors may be unable to anticipate these techniques or implement adequate preventative measures quickly enough to prevent either an electronic intrusion into our systems or services or a compromise of critical information. We cannot guarantee that we will be able to detect or prevent any such incidents, and our remediation efforts may not be successful or timely. Our efforts to improve security and protect data from compromise may also identify previously undiscovered instances of data breaches or other cybersecurity incidents. If we do not allocate and effectively manage the resources necessary to build and sustain the proper technology and cybersecurity infrastructure, we could suffer significant business disruption, including transaction errors, supply chain or manufacturing interruptions, processing inefficiencies, data loss or the loss of or damage to intellectual property or other proprietary, personal or confidential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extent that any cybersecurity incident, data breach, or other security event were to result in a loss of, or damage to, our or our third-party vendors’, collaborators’, contractors’, consultants’ or other third parties’ data, including personal information, or applications or inappropriate disclosure, loss, destruction or alteration of, or access to, confidential, personal or proprietary information, we would be required to notify affected stakeholders and could incur significant liability including litigation exposure, substantial penalties and fines, we could become the subject of regulatory action, inquiry or investigation, our competitive position could be harmed, we could incur significant reputational damage and the further development and commercialization of any product candidates we may develop could be delayed. Our contracts may not contain limitations of liability, and even where they do, there can be no assurance that limitations of liability in our contracts are sufficient to protect us from liabilities, damages, or claims related to our privacy and data security obligations. Cyber liability insurance may not provide adequate coverage against potential liabilities related to any experienced cybersecurity incident or breach. Any of the above could have a material adverse effect on our business, financial condition, results of operations or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Laws and regulations governing any international operations we may have in the future may preclude us from developing, manufacturing and selling certain product candidates we may identify outside of the United States and require us to develop and implement costly compliance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laws and regulations in each jurisdiction outside the United States in which we operate. The creation, implementation and maintenance of international business practices compliance programs is costly and such programs are difficult to enforce, particularly where reliance on third parties is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the U.K. Bribery Act 2010 has extra-territorial effect for companies and individuals having a connection with the United Kingdom. The U.K. Bribery Act prohibits inducements both to public officials and private individuals and organizations. Compliance with the FCPA and the U.K. Bribery Act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Our expansion outside of the United States has required, and will continue to require, us to dedicate additional resources to comply with these laws, and these laws may preclude us from developing, manufacturing or selling certain drugs and drug candidates outside of the United States, which could limit our growth potential and increase our development costs. The failure to comply with laws governing international business practices may result in substantial penalties, including suspension or debarment from government contracting. Violation of the FCPA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subject to stringent and often unsettled laws, rules, regulations, policies, standards and contractual obligations related to data privacy and security and changes in such laws, rules, regulations, policies, standards and contractual obligations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data privacy and protection laws, rules, regulations, policies, standards and contractual obligations that apply to the collection, transmission, storage, use, disclosure, transfer, maintenance and other processing of sensitive, personal and personally-identifying information, which, among other things, impose certain requirements relating to the privacy, security, transmission and other processing of personal information, including comprehensive regulatory systems in the United States and European Union. The legislative and regulatory landscape for privacy and data protection continues to evolve in jurisdictions worldwide, and there has been an increasing focus on privacy and data protection issues with the potential to affect our business. However, our data privacy program is in its early stages and we have not yet assessed the applicability of and our compliance with data privacy-related laws, rules and regulations. As a result, we cannot guarantee that we are and have been in compliance with all applicable data privacy and protection laws, rules regulations, policies and standards, and we may need to expend significant resources to implement privacy compliance measures. Additionally, we rely on certain third-party vendors to process certain confidential, sensitive or personal information on our behalf. Failure by us or our third-party vendors to comply with any of these laws, rules, regulations, contractual obligations or standards could result in notification obligations, enforcement actions, regulatory investigations or inquiries, significant fines, imprisonment of company officials and public censure, litigation and claims for damages by affected individuals, customers or business partners, damage to our reputation and loss of goodwill, any of which could have a material adverse effect on our business, financial condition, results of operations or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numerous U.S. federal and state laws, rules and regulations related to the collection, use, disclosure and security of personal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laws in all 50 states require businesses to provide notice to customers whose personally identifiable information has been disclosed as a result of a data breach.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patients or other counterparties of a cybersecurity incident or data breach. Although we may have contractual protections with our service providers, any actual or perceived cybersecurity incident or data breach could harm our reputation and brand, expose us to potential liability or require us to expend significant resources on data security and in responding to any such actual or perceived cybersecurity incident or data breach. Any contractual protections we may have from our service providers may not be sufficient to adequately protect us from any such liabilities and losses, 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 Determining whether personal information has been handled in compliance with applicable privacy standards and our contractual obligations can be complex and may be subject to changing interpretation.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Data privacy remains an evolving landscape at both the domestic and international level, with new laws, rules and regulations coming into effect and continued legal challenges. At the federal level, regulations promulgated pursuant to the Health Insurance Portability and Accountability Act of 1996 (“HIPAA”), establish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availability of electronic protected health information. The Genetic Information Nondiscrimination Act of 2008 (“GINA”), which clarified that genetic information is protected under HIPAA and restricts the use and disclosure of genetic information. In addition, certain state laws govern privacy and security of personal information. Further, failing to take appropriate steps to keep consumers’ personal information secure may constitute unfair acts or practices in or affecting commerce in violation of Section 5(a) of the Federal Trade Commission Act (the FTCA),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Further, through executive and legislative action, the federal government has also taken steps to restrict data transactions involving certain sensitive data categories – including health data, genetic data, and biospecimens – with persons affiliated with China, Russia, and other countries of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state laws also govern the privacy and security of personal information. For example, California enacted the California Consumer Privacy Act of 2018 (“CCPA”), which went into effect on January 1, 2020 and, among other things, required companies that process information on California residents to make new disclosures to consumers about their data collection, use and sharing practices, allowed consumers to opt out of certain data sharing with third parties and provided a new cause of action for data breaches. Additionally, California voters approved the California Privacy Rights Act (“CPRA”), which went into effect on January 1, 2023. The CPRA significantly modified the CCPA, including by introducing additional obligations such as data minimization and storage limitations and granting additional rights to California residents such as correction of personal information and additional opt-out rights. The CPRA also created a new state agency that has been vested with authority to implement and enforce the CCPA and the CPRA.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enactment of the CCPA has prompted a wave of similar legislative developments in other states and at the federal level, reflecting a trend toward more stringent privacy legislation in the United States. For example, similar laws have been passed in numerous other states. Other states have proposed similar laws,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also states that are specifically regulating health information. For example, Washington’s My Health My Data Act, which became effective on March 31, 2024, regulates the collection and sharing of health information and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operations may be subject to European data privacy laws, regulations and guidelines. The collection, use, storage, disclosure, transfer, or other processing of personal information regarding individuals in the EEA and UK, including personal health data, is subject to the EU General Data Protection Regulation, or EU GDPR, with respect to the EEA and the UK General Data Protection Regulation and UK Data Protection Act 2018 with respect to the UK, or UK GDPR, and collectively with the EU GDPR referred to as the “GDPR” in this document unless specified otherwise. The GDPR is wide-ranging in scope and imposes numerous requirements on companies that process personal information, including requirements relating to processing of special categories of personal information (such as health data), relying on a legal basis or condition for processing personal information, where required obtaining consent of the individuals to whom the personal information relates, providing information to individuals regarding data processing activities, conducting privacy impact assessments for “high risk” processing, implementing safeguards to protect the security and confidentiality of personal information, implementing limitations on the retention of personal information, providing mandatory notification of data breaches, and taking certain measures when engaging third-party processors. The GDPR also imposes strict rules on the transfer of personal information to countries outside the EEA and UK to non-adequate territories, including the United States in certain circumstances unless derogation exists or a valid GDPR transfer mechanism (for example, the European Commission approved Standard Contractual Clauses, or SCCs, and the UK International Data Transfer Agreement/Addendum, or UK IDTA) have been put in place. Where relying on the SCCs /UK IDTA for data transfers, we may also be required to carry out transfer impact assessments to assess whether the recipient is subject to local laws which allow public authority access to personal information. Failure to comply with the GDPR, and any supplemental EEA Member State or UK national data protection laws which may apply by virtue of the location of the individuals whose personal information we collect, may result in substantial penalties, including potential fines of up to €20 million (£17.5 million for the UK GDPR) or 4% of annual global revenues for the preceding financial year, whichever is greater. The GDPR also confers a private right of action on data subjects and consumer associations to lodge complaints with supervisory authorities, seek judicial remedies, and obtain compensation for damages resulting from violations of the GDPR. The GDPR increases our responsibility and liability in relation to personal information that we process where such processing is subject to the GDPR, and requires us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the EU GDPR and the UK GDPR currently impose substantially similar obligations, it is possible that over time the UK GDPR could become less aligned with the EU GDPR. The UK Government has introduced a Data Protection and Digital Information Bill to reform the UK data protection legal framework which failed in the UK legislative process. A new Data (Use and Access) Bill (“UK Bill”) has been introduced into parliament. If passed, the final version of the UK Bill may have the effect of further altering the similarities between the UK and EEA data protection regime and threaten the UK Adequacy Decision from the European Commission, or EC. Further, this may lead to additional compliance costs and could increase our overall risk In addition, EEA Member States have adopted national laws which may partially deviate from the EU GDPR, and the competent authorities in the EEA Member States may interpret EU GDPR obligations slightly differently from country to country, such that we do not expect to operate in a uniform legal landscape in the EEA.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This possible divergence in the future creates additional regulatory challenges and uncertainties for us. The lack of clarity on future UK laws and regulations and their interaction with EU laws and regulations could add legal risk, uncertainty, complexity and compliance cost to the handling of European personal information and our privacy and data security compliance.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efforts to comply with the evolving data protection laws, rules and regulations may be unsuccessful. It is possible that these laws, rules and regulations may be interpreted and applied in a manner that is inconsistent with our practices and our efforts to comply with the evolving data protection rules may be unsuccessful. The laws are not consistent, and compliance in the event of a widespread cybersecurity incident or data breach is costly and time-consuming. States are also frequently amending existing laws, requiring attention to frequently changing regulatory requirements. We must devote significant resources to understanding and complying with this changing landscape.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properly protect the privacy and security of personal information, we could be alleged or actually found to have breached our contracts. Furthermore, if we fail to comply with applicable privacy laws, including applicable HIPAA privacy and security standards, we could face significant administrative, civil and criminal penalties. HHS has the discretion to impose penalties without attempting to resolve violations through informal means, and such enforcement activity can result in financial liability and reputational harm, and responses to such enforcement activity can consume significant internal resources. In addition, state attorneys general are authorized to bring civil actions seeking either injunctions or damages in response to violations that threaten the privacy or security of the personal information of state residents. We cannot be sure how these laws, rules and regulations will be interpreted, enforced or applied to our operations. In addition to the risks associated with enforcement activities and potential contractual liabilities, our ongoing efforts to comply with evolving laws, rules and regulations at the international, federal and state level may be costly and require ongoing modifications to our policies, procedures and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make public statements about our use, collection, disclosure and other processing of personal information through our privacy policies and information provided on our website.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Failure by us or our third-party vendors to comply with laws, rules and regulations regarding data privacy and protection would expose us to risk of enforcement actions taken by data protection authorities and carries with it the potential for significant penalties if we are found to be non-compliant. Similarly, failure to comply with federal and state laws, rules and regulations in the United States regarding privacy and security of personal information could expose us to penalties under such laws, rules and regulations. Any such failure by us or our third-party vendors to comply with data protection and privacy laws, rules and regulations could result in significant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rules or regulations, government investigations into these issues typically require the expenditure of significant resources and generate negative publicity, which could harm our business, financial condition, results of operations or prospects.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Third Party Relationships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conflicts arise between us and our collaborators or strategic partners, these parties may act in a manner adverse to us and could limit our ability to implement our strategies.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conflicts arise between our collaborators and corporate or strategic partners and us, the other party may act in a manner adverse to us and could limit our ability to implement our strategies. Some of our collaborators and strategic partners are conducting multiple product development efforts within each area that is the subject of the collaboration with us. Our collaborators or strategic partners, however, may develop, either alone or with others, products in related fields that are competitive with the product candidates we may develop that are the subject of these collaborations with us. Competing products, either developed by the collaborators or strategic partners or to which the collaborators or strategic partners have rights, may result in the withdrawal of partner support for any product candidates we may develop.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some of our collaborators or strategic partners could also become our competitors in the future. Our collaborators or strategic partners could develop competing products, preclude us from entering into collaborations with their competitors, fail to obtain timely regulatory approvals, prevent us from obtaining timely regulatory approvals, terminate their agreements with us prematurely or fail to devote sufficient resources to the collaboration efforts, including development, delivery, manufacturing and commercialization of products. Any of these developments could harm our company and product development efforts.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entered into collaborations, and may enter into additional collaborations, with third parties for the research, development, manufacture and commercialization of programs or product candidates. If these collaborations are not successful, our business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part of our strategy, we have entered into collaborations and intend to seek to enter into additional collaborations with third parties for one or more of our programs or product candidates we may develop. For example, in November 2022, we entered into a Collaboration and License Agreement with Ionis Pharmaceuticals, Inc. (“Ionis”) to research, develop and commercialize investigational medicines using our genome editing technologies. Our likely collaborators for any other collaboration arrangements include large and mid-size pharmaceutical companies, regional and national pharmaceutical companies and biotechnology companies. We have under these agreements, and we may have under any other arrangements that we may enter into with any third parties, limited control over the amount and timing of resources that collaborators dedicate to the development or commercialization of our product candidates. Our ability to generate revenue from these arrangements may depend on our collaborators’ abilities to successfully perform the functions assigned to them in these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Collaborations that we enter into may not be successful, and any success will depend heavily on the efforts and activities of such collaborators. Collaborations pose a number of risks,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have significant discretion in determining the amount and timing of efforts and resources that they will apply to these collaborations;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perform their obligations as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preclinical studies and clinical trials, provide insufficient funding for a preclinical study or clinical trial program, stop a preclinical study or clinical trial or abandon a product candidate, repeat or conduct new preclinical studies or clinical trials or require a new formulation of a product candidate for preclinical 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may fail to comply with applicable regulatory requirements regarding the development, manufacture, distribution or marketing of a product candidate or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collaborator with marketing and distribution rights to one or more of our product candidates that achieve regulatory approval may not commit sufficient resources to the marketing and distribution of such product or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with respect to the ownership of intellectual property or other rights developed pursuant to our collaborations;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infringe, misappropriate or otherwise violate the intellectual property or proprietary rights of third parties, which may expose us to litigation and potential liability;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for the convenience of the collaborator, and, if terminated, we could be required to raise additional capital to pursue further development or commercialization of the applicable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 If any current or future collaborations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Quarterly Report on Form 10-Q also apply to the activities of our collaborators.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Collaboration agreements may require us to incur non-recurring and other charges, increase our near- and long-term expenditures, issue securities that dilute our existing stockholders, or disrupt our management and business. For more information, see the section titled “Business—Our License and Collaboration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could face significant competition in seeking appropriate collaborators, and the negotiation process is time-consuming and complex. Our ability to reach a definitive collaboration agreement will depend, among other things, upon our assessment of the collaborator’s resources and expertise, the terms and conditions of the proposed collaboration, and the proposed collaborator’s evaluation of several factors. If we license rights to any product candidates we or our collaborators may develop, we may not be able to realize the benefit of such transactions if we are unable to successfully integrate them with our existing operations and company culture.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be restricted under existing collaboration agreements from entering into future collaboration agreements on certain terms with potential collaborators. In addition, there have been a significant number of recent business combinations among large pharmaceutical companies that have resulted in a reduced number of potential future collaborators, which further increases competition we face in seeking potential collaborations.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subject to its contractual obligations to us, if a collaborator of ours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 and our perception in the business and financial communities could be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collaborators and strategic partners may control aspects of our clinical trials, which could result in delays and other obstacles in the commercialization of our proposed products and materially harm our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some programs, we will depend on third party collaborators and strategic partners to design and conduct our clinical trials. As a result, we may not be able to conduct these programs in the manner or on the time schedule we currently contemplate, which may negatively impact our business operations. In addition, if any of these collaborators or strategic partners withdraw support for our programs or proposed products or otherwise impair their development, our business could be negatively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2022, we entered into a Collaboration and License Agreement with Ionis to research, develop and commercialize investigational medicines for up to eight potential genetic targets using genome editing technologies. Our lack of control over the clinical development in our agreement with Ionis could cause delays or other difficulties in the development and commercialization of product candidates, which may prevent completion of intended IND applications in a timely fashion,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termination of these agreements would prevent us from receiving any milestone, royalty payments and other benefits under that agreement, which would have a materially adverse effect on our results of operations.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collaborators or strategic partners may decide to adopt alternative technologies or may be unable to develop commercially viable products with our technology, which would negatively impact our revenues and our strategy to develop these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collaborators or strategic partners may adopt alternative technologies, which could decrease the marketability of our genome editing technology. Additionally, because our current or future collaborators or strategic partners are likely to be working on more than one development project, they could choose to shift their resources to projects other than those they are working on with us. If they do so, this would delay our ability to test our technology and would delay or terminate the development of potential products based on our genome editing technology. Further, our collaborators and strategic partners may elect not to develop products arising out of our collaborative and strategic partnering arrangements or to devote sufficient resources to the development, manufacturing, marketing or sale of these products. The failure to develop and commercialize a product candidate pursuant to our agreements with our current or future collaborators would prevent us from receiving future milestone and royalty payments which would negatively impact our revenues.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expect to rely on third parties to conduct our clinical trials and some aspects of our research, as well as some aspects of our delivery methods, and those third parties may not perform satisfactorily, including failing to meet deadlines for the completion of such trials, research or testing.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rely on third parties, such as CROs, clinical data management organizations, medical institutions, preclinical laboratories and clinical investigators, to conduct some aspects of our research. For example, we may rely on a third party to supply LNPs or AAVs, or to conduct our preclinical animal experiments. Any of these third parties may terminate their engagements with us at any time under certain criteria. If we need to enter into alternative arrangements, it may delay our product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reliance on these third parties for clinical research and other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the EMA and other regulatory authorities require us and the study sites and investigators we work with to comply with standards, commonly referred to as GLPs and GCPs for conducting, recording and reporting the results of preclinical studies and clinical trials to assure, amongst other things, that data and reported results are credible and accurate and that the rights, integrity and confidentiality of trial participants are protected. In the United States, we also are required to register certain clinical trials and post the results of completed clinical trials on a government-sponsored database, ClinicalTrials.gov, within certain timeframes. Failure to do so can result in fines, adverse publicity and civil and criminal sanctions.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intend to design the preclinical studies and clinical trials for our potential product candidates, CROs will conduct some or all of the preclinical studies and clinical trials. As a result, many important aspects of our development programs, including their conduct and timing, will be outside of our direct control. Our reliance on third parties to conduct preclinical studies and future clinical trials will also result in less direct control over the management of data developed through preclinical studies and clinical trials than would be the case if we were relying entirely upon our own staff. Communicating with outside parties can also be challenging, potentially leading to mistakes as well as difficulties in coordinating activities. Among other reasons that may delay or impact the development of our potential product candidates, outside parties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have staffing difficulties;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 to comply with contractual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experience regulatory compliance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undergo changes in priorities or become financially distressed;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form relationships with other entities, some of which may be our competitors.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may materially adversely affect the willingness or ability of third parties to conduct our preclinical studies and clinical trials and may subject us to unexpected cost increases that are beyond our control. If the CROs and other third parties do not perform such preclinical studies and future clinical trials in a satisfactory manner, breach their obligations to us or fail to comply with regulatory requirements, the development, regulatory approval and commercialization of our potential product candidates may be delayed, we may not be able to obtain regulatory approval and commercialize our potential product candidates or our development programs may be materially and irreversibly harmed. If we are unable to rely on preclinical and clinical data collected by our CROs and other third parties, we could be required to repeat, extend the duration of or increase the size of any preclinical studies or clinical trials we conduct and this could significantly delay commercialization and require greater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expect to rely on other third parties to store and distribute drug supplies for our future clinical trials. Any performance failure on the part of our distributors could delay clinical development or regulatory approval of any product candidates we may develop or commercialization of our therapies, producing additional losses and depriving us of potential product revenue.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Manufacturing biologic products is complex and subject to product loss for a variety of reasons. We contract with third parties for the manufacture of certain materials for our development programs and expect to continue to do so for clinical trials and commercialization. This reliance on third parties increases the risk that we will not have sufficient quantities of our future product candidates or products or such quantities at an acceptable cost or quality, which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and are expanding our cGMP manufacturing facility which is currently capable of manufacturing clinical grade nucleases and mRNA to supply both wholly-owned and collaboration programs. We also partner with CMOs for guide RNA (“gRNA”) and DNA template development and supply. We also rely, and expect to continue to rely, on third parties for gRNA and DNA template development and supply, as well as for preclinical and clinical testing and commercial manufacture if any of our product candidates receive regulatory approval. We also expect to rely on these third parties for certain logistics, including packaging, labeling, storage, and distribution. This reliance on third parties increases the risk that we will not have sufficient quantities of our materials or future product candidates or products or such quantities at an acceptable cost or quality, which could delay, prevent or impair our development or commercialization efforts. We may be unable to establish any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reliance on the third party for regulatory compliance and quality assurance;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breach of the manufacturing agreement by the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misappropriation of our proprietary information, including our trade secrets and know-how;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termination or nonrenewal of the agreement by the third party at a time that is costly or inconvenient for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our third-party manufacturers may encounter shortages in the raw materials or active pharmaceutical ingredients necessary to produce our future product candidates in the quantities needed for our preclinical studies or clinical trials or, if our future product candidates are approved, in sufficient quantities for commercialization or to meet an increase in demand, as a result of capacity constraints or delays or disruptions in the market for the raw materials or active pharmaceutical ingredients, including shortages caused by the purchase of such raw materials or active pharmaceutical ingredient by our competitors or others. The failure of us or our third-party manufacturers to obtain the raw materials or active pharmaceutical ingredients necessary to manufacture sufficient quantities of our future product candidates may have a material adverse effect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Components of a finished therapeutic product approved for commercial sale or used in late-stage clinical trials must be manufactured in accordance with cGMP. We, along with our third-party manufacturers, are subject to inspection and approval by regulatory authorities before we can commence the manufacture and sale of any of our future product candidates, and thereafter subject to ongoing inspection from time to time. We or our third-party manufacturers may not be able to comply with cGMP or similar regulatory requirements outside of the United States. Our failure, or the failure of our third-party manufacturers, to comply with applicable regulations could result in regulatory actions, such as the issuance of FDA Form 483 notices of observations, warning letters or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Manufacturing biologic products, such as the product candidates we intend to develop, is complex, especially in large quantities. Biologic products must be made consistently and in compliance with a clearly defined manufacturing process. Accordingly, it is essential to be able to validate and control the manufacturing process to assure that it is reproducible. Any product candidates and products that we may develop may compete with other product candidates and products for access to manufacturing facilities. As a result, we may not obtain access to these facilities on a priority basis or at all. There are a limited number of manufacturers that operate under cGMP and that might be capable of manufacturing for us.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performance failure on the part of our existing or future manufacturers could delay clinical development or regulatory approval. We do not currently have arrangements in place for redundant supply or a source for bulk drug substance nor do we have any agreements with third-party manufacturers for long-term commercial supply. If any of our contract manufacturers cannot perform as agreed, we may be required to replace such manufacturers. Although we believe that there are several potential alternative manufacturers who could manufacture materials or future product candidates or products we may develop, we may incur added costs and delays in identifying and qualifying any such replacement or be unable to reach agreement with an alternative manufacturer. If we are required to change third party-manufacturers for any reason, we will be required to verify that the new third party-manufacturer maintains facilities and procedures that comply with quality standards and with all applicable regulations. We will also need to verify, such as through a manufacturing comparability study, that any new manufacturing process will produce our materials or future product candidates or products according to the specifications previously submitted to the FDA or another regulatory authority. The delays associated with the verification of a new third party-manufacturer could negatively affect our ability to develop product candidates or commercialize our products in a timely manner or within budget. Furthermore, a third party-manufacturer may possess technology related to the manufacture of our materials or future product candidates or products that such third party-manufacturer owns independently. This would increase our reliance on such third party-manufacturer or require us to obtain a license from such third party-manufacturer in order to have another third party-manufacturer manufacture our materials or future product candidates or products, which may not be available on commercially reasonable terms, or at all.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current and anticipated future dependence upon others for the manufacture of materials and any future product candidates or products we may develop may adversely affect our future profit margins and our ability to commercialize any products that receive regulatory approval on a timely and competitive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relationships with healthcare providers, physicians, and third-party payors will be subject to applicable anti-kickback, fraud and abuse, anti-bribery and other healthcare laws and regulations, which could expose us to criminal sanctions, civil penalties, contractual damages, reputational harm, and diminished profits and future earnings.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Healthcare providers, including physicians, and third-party payors play a primary role in the recommendation and prescription of any product candidates that we may develop for which we obtain regulatory approval and marketing approval. Our current and future arrangements with third-party payors, healthcare providers and customers may expose us to broadly applicable fraud and abuse and other healthcare laws and regulations that may constrain the business or financial arrangements and relationships through which we market, sell, and distribute our products for which we obtain regulatory approval. Restrictions under applicable federal and state healthcare laws and regulations, including certain laws and regulations applicable only if we have marketed products,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civil FCA prohibits knowingly presenting or causing the presentation of a false, fictitious or fraudulent claim for payment to the U.S. government. Actions under the FCA may be brought by the Attorney General or as a qui tam action by a private individual in the name of the government. Violations of the FCA can result in very significant monetary penalties, for each false claim and treble the amount of the government’s damages. Manufacturers can be held liable under the FCA even when they do not submit claims directly to government payors if they are deemed to “cause” the submission of false or fraudulent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prohibits, among other things, persons from soliciting, receiving or providing remuneration, directly or indirectly, to induce either the referral of an individual, for an item or service or the purchasing or ordering of a good or service, for which payment may be made under federal healthcare programs such as Medicare and Medicaid. The federal Anti-Kickback Statute has been interpreted to apply to arrangements between manufacturers on one hand and prescribers, purchasers, and formulary managers on the other. A person or entity does not need to have actual knowledge of the statute or specific intent to violate it in order to have committed a violation. A violation of the federal Anti-Kickback Statute can also form the basis for FCA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which, in addition to privacy protections applicable to healthcare providers and other entities, prohibits executing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(“HITECH”), and its implementing regulations, including the final omnibus rule published on January 25, 2013, imposes, among other things, certain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transmit, or obtain, protected health information in connection with providing a service for or on behalf of a covered entity, and their covered subcontractors.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FD&amp;C Act, which among other things, strictly regulates drug marketing, prohibits manufacturers from marketing such products for off-label use and regulates the distribution of samples;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laws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transparency laws, including the federal Physician Payment Sunshine Act created under the Patient Protection and Affordable Care Act as amended by the Health Care and Education Reconciliation Act of 2010 (collectively, the “ACA”), and its implementing regulations, which requires manufacturers of certain drugs, devices, medical supplies, and biologics, among others, to track and disclose payments under Medicare, Medicaid or the Children’s Health Insurance Program (with certain exceptions) and other transfers of value they make to U.S. physicians (defined to include doctors, dentists, optometrists, podiatrists and chiropractors), certain non-physician providers such as physician assistants and nurse practitioners, and teaching hospitals, as well as ownership and investment interests held by physicians and their immediate family members. This information is subsequently made publicly available in a searchable format on a Centers for Medicare &amp; Medicaid Services (“CMS”) website. Failure to disclose required information may result in civil monetary penalties for all payments, transfers of value or ownership or investment interests that are not timely, accurately and completely reported in an annual submission. Certain states also mandate implementation of compliance programs, impose restrictions on drug manufacturer marketing practices and/ or require the tracking and reporting of gifts, compensation and other remuneration to physicians and/or other healthcare providers;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anti-bribery and false claims laws, which may apply to healthcare items or services that are reimbursed by non-governmental third-party payors, including private insurers.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state laws also require pharmaceutical companies to comply with specific compliance standards, restrict financial interactions between pharmaceutical companies and healthcare providers or require pharmaceutical companies to report information related to payments to healthcare providers or marketing expenditures.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Efforts to ensure that our business arrangements with third parties will comply with applicable healthcare laws and regulations will involve substantial costs. Given the breadth of the laws and regulations, limited guidance for certain laws and regulations and evolving government interpretations of the laws and regulations, governmental authorities may possibly conclude that our business practices may not comply with healthcare laws and regulations. If our operations are found to be in violation of any of the laws described above or any other government regulations that apply to us, we may be subject to significant penalties, including civil and criminal penalties, damages, fines, exclusion from participation in government healthcare programs, such as Medicare and Medicaid, individual imprisonment, and the curtailment or restructuring of our operations, any of which could adversely affect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provision of benefits or advantages to physicians to induce or encourage the prescription, recommendation, endorsement, purchase, supply, order, or use of medicinal products is prohibited in the European Union. The provision of benefits or advantages to induce or reward improper performance generally is governed by the national anti-bribery laws of European Union Member States, and the Bribery Act 2010 in the United Kingdom.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United Kingdom despite its departure from the EU.</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Personnel, Operations, and Growth</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realize the expected operational or financial benefits from our organizational changes, which could also have unintended consequences and adversely impact our financial position, results of operations and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11, 2025, we announced a new Chief Executive Officer and a strategic restructuring that included a reduction in our organizational headcount of 25%. We recognized substantially all of the charges related to the workforce reduction in the quarter ended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recent changes in executive management, as well as the reduction in headcount, may be disruptive to our operations. Any significant leadership change or executive management transition involves inherent risk and can be difficult to manage. For example, these changes could yield unanticipated consequences, such as attrition beyond planned staff reductions, the loss of institutional knowledge and expertise, increased difficulties in our day-to-day operations, reduced employee morale and diversion of our management and employee attention from other business priorities. The reduction in headcount could also harm our ability to attract and retain qualified personnel who are critical to our business, make it difficult for us to pursue new opportunities and initiatives and require us to hire qualified replacement personnel.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future success depends on our ability to retain our Chief Executive Officer and other key executives and to attract, retain, and motivate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we experienced the departure of our Founder and Chief Executive Officer, Brian C. Thomas. Jian Irish, our former President and Chief Operating Officer, was appointed as our new Chief Executive Officer and President. We are highly dependent on principal members of our management and scientific teams. Such principal members are engaged “at will,” meaning we or they may terminate the relationship at any time. We do not maintain “key person” insurance for any of our executives or other employees. The loss of the services of any of these persons could impede the achievement of our research, development and commercialization objectives. For us to successfully compete and grow, we must recruit, retain, and develop talent who can provide the necessary expertise across a broad spectrum of disciplines. In addition, we must develop, maintain and, as necessary, implement appropriate succession plans to ensure we have the necessary human capital capable of maintaining continuity in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Recruiting and retaining qualified scientific, clinical, manufacturing and sales and marketing personnel will also be critical to our success. In addition, our company-building efforts and establishment of a company culture will also be important to developing an innovative company in a high-evolving area. We may not be able to succeed in these efforts to build Metagenomi Therapeutics as an attractive and exciting place to build a career or to attract and retain these types of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including our scientific co-founders, may be employed by employers other than us and may have commitments under consulting or advisory contracts with other entities that may limit their availability to us. We may also encounter problems hiring and retaining the experienced scientific, quality control and manufacturing personnel needed to manage our manufacturing process, which could result in delays in our production or difficulties in maintaining compliance with applicable regulatory requirements. The inability to recruit, or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expect to expand our research, development, delivery, manufacturing, commercialization, regulatory, and future sales and marketing capabilities over time, and as a result, we may encounter difficulties in managing our growth, which could disrupt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fail to manage our growth effectively. As of March 31, 2026, we had 118 full-time employees, of which 40 have M.D. or Ph.D. degrees. Within our workforce, 96 employees are engaged in research, development and technical operations, and 22 are engaged in business development, finance, legal, and general management and administration. In connection with the growth and advancement of our pipeline and continuing to operate as a public company, we expect to increase the scope of our operations, particularly in the areas of research and clinical development, regulatory affairs and, if any of our future product candidates receive regulatory approval,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expected expansion of our operations or recruit and train additional qualified personnel. Moreover, the expected physical expansion of our operations may lead to significant costs and may divert our management and business development resources. Any inability to manage growth could delay the execution of our business plans or disrupt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growing biotechnology company, we are actively developing our platform technology and pursuing development of future product candidates in many therapeutic areas and across a wide range of diseases. Successfully developing product candidates for and fully understanding the regulatory and manufacturing pathways to all of these therapeutic areas and disease states requires a significant depth of talent, resources and corporate processes in order to allow simultaneous execution across multiple areas. We will need to transition from a company with a research focus to a company capable of conducting clinical trials and ultimately supporting commercial activities if any of our product candidates are approved. We may not be successful in such a transition. Due to our limited resources, we may not be able to effectively manage this simultaneous execution and the expansion of our operations or recruit and train additional qualified personnel. This may result in weaknesses in our infrastructure, give rise to operational mistakes, legal or regulatory compliance failures, loss of business opportunities, loss of employees and reduced productivity among remaining employees. The physical expansion of our operations may lead to significant costs and may divert financial resources from other projects, such as the development of our potential product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compete effectively and commercialize any product candidates we may develop will depend in part on our ability to effectively manage the future development and expansion of our company, and may prevent us from achieving or maintaining profitability. We cannot assure you that we will be able to compete effectively in the future against existing or new competitors, and our failure to do so could harm our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a reduction in staffing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reduced staffing,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including substantial leadership changes, personnel cuts, and policy changes, may also slow the time necessary for biologics or modifications to approved biologics to be reviewed and/or approved by necessary government agencies, which would adversely affect our business. Changes and cuts in FDA staffing also could result in delays in the FDA’s responsiveness or in its ability to review IND submissions or marketing applications, issue regulations or guidance, or implement or enforce regulatory requirements in a timely fashion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prolonged government shutdown, significant leadership, personnel, and/or policy changes, or other substantial modifications in agency activities (including due to global health concerns or geopolitical factors) could significantly impact the ability of the FDA or other regulatory authorities to timely review and process our regulatory submissions, which could have a material adverse effect on our business. Disruptions at agencies that fund our research and development activities and our clinical trials, or changes to such agencies’ budgets, may negatively impact our operations and ongoing clinical trials and may limit our ability to seek additional funding in the future. Further shutdowns or other disruptions could also affect other government agencies such as the SEC, which may also impact our business by delaying review of our public filings, to the extent such review is necessary, and our ability to access the public markets.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substantial uncertainty as to how and the extent the Trump administration will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Trump administration could issue or promulgate executive orders, regulations, policies or guidance that adversely affect us or create a more challenging or costly environment to pursue the development of new therapeutic candidates.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commercial success depends on our ability to obtain, maintain, enforce, and otherwise protect our intellectual property and proprietary technology, and if the scope of the intellectual property protection obtained is not sufficiently broad, our competitors or other third parties could develop and commercialize products and product candidates similar or identical to ours and our ability to successfully develop and commercialize our genome editing systems may be adversely affected.</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large part, on our ability to obtain and maintain intellectual property rights protection through patents, trademarks, and trade secrets in the United States and other countries with respect to our proprietary genome editing systems </w:t>
      </w:r>
      <w:r>
        <w:rPr>
          <w:rFonts w:ascii="Times New Roman" w:hAnsi="Times New Roman"/>
          <w:color w:val="231F20"/>
          <w:sz w:val="20"/>
        </w:rPr>
        <w:t>and to operate without infringing, misappropriating or otherwise violating the intellectual property of others</w:t>
      </w:r>
      <w:r>
        <w:rPr>
          <w:rFonts w:ascii="Times New Roman" w:hAnsi="Times New Roman"/>
          <w:color w:val="000000"/>
          <w:sz w:val="20"/>
        </w:rPr>
        <w:t>. If we do not adequately protect our intellectual property rights, competitors or other third parties may be able to erode, negate or preempt any competitive advantage we may have, which could harm our business and ability to achieve profitability. To protect our proprietary position, we have filed patent applications and may file other patent applications in the United States or abroad related to our genome editing systems that are important to our business; we may also license or purchase patents or patent applications filed by others. The patent application process is expensive, time-consuming and complex. We may not be able to file, prosecute, maintain, enforce or license all necessary or desirable patent applications at a reasonable cost or in a timely manner. Additionally, recent reforms and changes at government agencies of the United States and those of non-U.S. jurisdictions could increase the uncertainties and costs surrounding the prosecution or maintenance of our patent applications, and the maintenance, enforcement, or defense of our issued patents. For example, the ability of the United States Patent and Trademark Office (“USPTO”) and other applicable patent authorities to properly administer their functions is highly dependent on the levels of funding available to the agency and their ability to retain key personnel and fill key leadership appointments, among various factors. Termination of employees or delays in replacing or hiring for key positions could significantly impact the ability of the USPTO and other applicable patent authorities to fulfill their functions and could greatly impact our ability to timely and adequately prosecute or maintain our patent applications, and our ability to timely and adequately maintain, enforce, or defend our issued patents.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able to obtain patents on certain inventions if those inventions are publicly disclosed prior to our filing a patent application covering them. We enter into nondisclosure and confidentiality agreements with parties who have access to confidential information, including confidential information regarding inventions not yet disclosed in patent applications. We cannot guarantee that any of these parties will not breach these confidentiality agreements and publicly disclose any of our inventions before a patent application is filed covering such inventions. If such confidential information is publicly disclosed, we may not be able to successfully patent it and consequently, we may not be able to prevent third parties from using such inventions.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the scope of the patent protection we obtain is not sufficiently broad, we may not be able to prevent others from developing and commercializing technology and products similar or identical to ours.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patents have, or that any of our pending owned patent applications that mature into issued patents will include claims with a scope sufficient to protect our proprietary genome editing systems or otherwise provide any competitive advantage. Other parties have developed or may develop technologies that may be related or competitive with our approach, and may have filed or may file patent applications and may have been issued or may be issued patents with claims that overlap or conflict with our patent portfolio, either by claiming the same compounds, formulations or methods or by claiming subject matter that could dominate our patent position. In addition, the laws of foreign countries may not protect our rights to the same extent as the laws of the United States. Furthermore, patents have a limited lifespan. In the United States, the natural expiration of a patent is generally twenty years after its earliest priority claim, not including priority claims to provisional or foreign national applications. Various extensions may be available; however, the life of a patent, and the protection it affords, is limited.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upon the timing, duration and specifics of FDA marketing approval of our product candidates, one or more of our U.S. patents or those any future partners, collaborators, or licensees may be eligible for limited patent term restoration under the Hatch-Waxman Amendments. Patent term extension may also be available in certain foreign countries upon regulatory approval of our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be granted any extensions for which we apply in the U.S. or any other jurisdiction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project or request. In addition, to the extent we wish to pursue patent term extension based on a patent that we in-license from a third party, we would need the cooperation of that third party. If we are unable to obtain patent term extension or restoration, or the foreign equivalent, or if the term of any such extension is less than we project or request, our competitors may obtain approval of competing products following our patent expiration, and our revenue could be reduced, possibly materially.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new genome editing systems, patents protecting such genome editing systems might expire before or shortly after such genome editing systems are commercialized. As a result, our patent portfolio may not provide us with adequate and continuing patent protection sufficient to exclude others from commercializing products similar or identical to ours.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they are unchallenged, our owned patents and pending patent applications, if issued, may not provide us with any meaningful protection or prevent competitors from designing around our patent claims to circumvent our patent portfolio by developing similar or alternative genome editing systems in a non-infringing manner. For example, a third party may develop a genome editing system that provides benefits similar to our genome editing systems but falls outside the scope of our patent protection or license rights. If the patent protection provided by the patent and patent applications we hold or pursue with respect to our genome editing systems is not sufficiently broad to impede such competition, our ability to successfully commercialize our product genome editing systems could be negatively affected, which would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or any future partners, collaborators,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defects of form in the preparation or filing of our patent portfolio may exist, or may arise in the future, for example with respect to proper priority claims, inventorship, claim scope, or requests for patent term adjustments. If we or our partners, collaborators, or licensees whether current or future, fail to establish, maintain or protect such patents and other intellectual property rights, such rights may be reduced or eliminated. If our partners, collaborators, or licensees are not fully cooperative or disagree with us as to the prosecution, maintenance or enforcement of any patent rights, such patent rights could be compromised. If there are material defects in the form, preparation, prosecution, or enforcement of our patent portfolio, such patents may be invalid and/or unenforceable, and such applications may never result in valid, enforceable patents. Periodic maintenance fees, renewal fees, annuity fees and various other government fees on patents and/or applications will be due to be paid to the USPTO and various government patent agencies outside of the United States over the lifetime of our owned or licensed patents and patent applications. We rely on our outside counsel, outside patent annuity service or our licensing partners to pay these fees due to U.S. and non-U.S. patent agencies. The USPTO and various non-U.S. government patent agencies require compliance with several procedural, documentary, fee payment and other similar provisions during the patent application process. Any of these outcomes could impair our ability to prevent competition from third parties, which may have an adverse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 of biotechnology and pharmaceutical companies carries uncertainty. In addition, the determination of patent rights with respect to genome editing technologies commonly involves complex legal and factual questions, which are dependent upon the current legal and intellectual property context, extant legal precedent and interpretations of the law by individuals. As a result, the issuance, scope, validity, enforceability and commercial value of our patent rights are characterized by uncertainty.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Pending patent applications cannot be enforced against third parties practicing the technology claimed in such applications unless and until a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not published until 18 months after filing, or in some cases not at all. Furthermore, the volume of all publicly available prior art is not feasibly searchable in detail in its entirety. Therefore, we cannot be certain that we were the first to make the inventions claimed in our patent portfolio, or that we were the first to file for patent protection of such inventions. If third parties have filed prior patent applications on inventions claimed in our patent portfolio that were filed on or before March 15, 2013, an interference proceeding in the United States can be initiated by such third parties to determine who was the first to invent any of the subject matter covered by our patent portfolio. If third parties have filed such prior applications after March 15, 2013, a derivation proceeding in the United States can be initiated by such third parties to determine whether our invention was derived from theirs.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because the issuance of a patent is not conclusive as to its inventorship, scope, validity or enforceability, our patents may be challenged in the courts or patent offices in the United States and abroad. There is no assurance that all the potentially relevant prior art relating to our patent portfolio has been found.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 portfolio, or that we were the first to file for patent protection of such inventions. If such prior art exists, it may be used to invalidate a patent, or may prevent a patent from issuing from a pending patent application. For example, such patent filings may be subject to a third-party submission of prior art to the USPTO, or to other patent offices around the world. Alternately or additionally, we may become involved in post-grant review procedures, oppositions, derivation proceedings, ex parte reexaminations, inter partes review, supplemental examinations, or interference proceedings or challenges before the USPTO or in district court in the United States, or similar proceedings in various foreign jurisdictions, including both national and regional, challenging patents or patent applications in which we have rights, including patents on which we rely to protect our business. An adverse determination in any such challenges may result in loss of the patent or claims in the patent portfolio being narrowed, invalidated or held unenforceable, in whole or in part, or in denial of the patent application or loss or reduction in the scope of one or more claims of the patent portfolio, any of which could limit our ability to stop others from using or commercializing similar or identical technology and products, or limit the duration of the patent protection of our technology and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Pending and future patent applications may not result in patents being issued that protect our business, in whole or in part, or which effectively prevent others from commercializing competitive products. Competitors may also be able to design around our patents.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patent laws in various jurisdictions, including jurisdiction covering significant commercial markets, such as the European Patent Office, China, and Japan, restrict the patentability of methods of treatment of the human body more than United States law does. If these developments were to occur, they could have a material adverse effect on our ability to generate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Supreme Court has ruled on several patent cases in recent years, either narrowing the scope of patent protection available in certain circumstances or weakening the rights of patent owners in certain situations. For example, the U.S. Supreme Court held in Amgen v. Sanofi (2023) that a functionally claimed genus was invalid for failing to comply with the enablement requirement of the Patent Act. In addition, the U.S. Court of Appeals for the Federal Circuit recently issued a decision involving the interaction of a patent term adjustment, terminal disclaimers, and obvious-type double patenting. This combination of events has created uncertainty with respect to the validity and enforceability of patents, once obtained. Similarly, foreign courts have made and will continue to make changes in how the patent laws in their respective jurisdictions are interpreted. We cannot predict future changes in the interpretation of patent laws or changes to patent laws that might be enacted into law by U.S. and foreign legislative bodies. For example, the IRA passed by Congress authorizes the Secretary of the Department of HHS to negotiate prices directly with participating manufacturers for selected medicines covered by Medicare even if these medicines are protected by an existing patent. While we do not believe that the IRA or its effects will impact our ability to obtain patents in the near future, we cannot be certain whether it will affect our patent strategy in the long run. The laws and regulations governing patents could change in unpredictable ways that would weaken our ability to obtain new patents or to enforce our existing patent and the patents we might obtain or license in the future. Additionally, in July 2025, the U.S. Food and Drug Administration (FDA) announced its intent to increase transparency by publicly releasing portions of Complete Response Letters (CRLs) issued to drug and biologic sponsors. While the FDA has stated that confidential information will be protected, it remains unclear how such disclosures will be implemented. Because CRLs often contain specific observations about study design, clinical endpoints, chemistry, manufacturing, and controls (CMC) data, or other proprietary information, any public release could unintentionally disclose information that competitors may use to infer proprietary aspects of our product candidates or platform technologies. This could compromise the confidentiality of our trade secrets and know-how or facilitate third-party efforts to design around or challenge the validity, enforceability, or scope of our patents, or accelerate the development of generics or biosimilars. If we are required to modify or limit the information shared with the FDA to mitigate such risks, it could increase costs, slow our regulatory interactions, or delay product approval timelines.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European patent applications now have the option, upon grant of a patent, of becoming a Unitary Patent which will be subject to the jurisdiction of the Unified Patent Court (UPC). This is a significant change in European patent practice. As the UPC is a relatively new court system, there is limited precedent for the court, increasing the uncertainty of any litigation. As a single court system can invalidate a European patent, we, where applicable, have opted out of the UPC for certain cases. But for proceedings such as an opposition, an opt out European patent would need to be challenged in each individual country.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Geo-political actions in the U.S.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Government actions may also prevent filing, prosecution and maintenance of issued patents in various jurisdictions. These actions could result in abandonment or lapse of our patents or patent applications, resulting in partial or complete loss of patent rights in such jurisdictions. If such an event were to occur, it could have a material adverse effect on our business. In addition, jurisdictions outside of the U.S. could also permit our patents to be exploited without consent or compensation.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 Additionally, changes in US trade policy, including the imposition of new or increased tariffs as well as retaliatory measures by other countries, could adversely affect our patent strategy, such as where we choose to file, maintain, or enforce our patents. Also, if we are required to move our research or manufacturing activities to new regions, this may expose us to jurisdictions with weaker intellectual property enforcement, differing patent eligibility standards, or greater risk of compulsory licensing. These factors could compromise the protection or value of our proprietary technologies, including our core patents and related know-how.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application process is subject to numerous risks and uncertainties, and there can be no assurance that we or any of our future development partners will be successful in protecting our genome editing systems by obtaining and defending patents. These risks and uncertainties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provisions during the patent process. There are situations in which noncompliance, whether intentional or not,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applications may not result in any patents being issued;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Company-owned or in-licensed patents that have been issued or may be issued in the future may be challenged, invalidated, modified, revoked, circumvented, found to be unenforceable or otherwise may not provide any competitive advantage;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many of whom have substantially greater resources and many of whom have made significant investments in competing technologies, may seek or may have already obtained patents that will limit, interfere with or eliminate our ability to make, use, and sell our genome editing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United States may have patent laws less favorable to patentees than those upheld by U.S. courts, allowing foreign competitors a better opportunity to create, develop and market competing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countries other than the U.S. may, under certain circumstances, force us to grant a license under our patents to a competitor, thus allowing the competitor to compete with us in that jurisdiction or forcing us to lower the price of our drug in that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Issued patents that we have or may obtain or license may not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Our competitors or other third parties may avail themselves of safe harbor under the Drug Price Competition and Patent Term Restoration Act of 1984 (Hatch-Waxman Amendments) to conduct research and clinical trials and may be able to circumvent our patent rights by developing similar or alternative technologies or products in a non-infringing manner. Our competitors may also seek approval to market their own products similar to or otherwise competitive with our products.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do not infringe our patents. Thus, even if we have valid and enforceable patents, these patents still may not provide protection against competing products or processes sufficient to achieve our business objectives.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research, development and commercialization activities may be subject to claims that we infringe, misappropriate or otherwise violate patents or other intellectual property rights of others. Additionally, other entities may have, develop or obtain patents that could impair our competitive position or limit our ability to make, use, sell, offer for sale or import our product candidates. There is a substantial amount of litigation, both within and outside the U.S., involving patent and other intellectual property rights in the biotechnology industry. Numerous third-party U.S. and foreign issued patents and pending patent applications exist in the fields in which we are developing product candidates. Third-party patents or patent applications may include claims to materials, formulations, methods of manufacture or methods for treatment related to the use or manufacture of our product candidates. Given the vast number of patents in our field of technology, we cannot be certain or guarantee that we do not infringe existing patents or that we will not infringe patents that may be granted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fail to identify relevant patents or patent applications or may identify pending patent applications of potential interest but incorrectly predict the likelihood that such patent applications may issue with claims of relevance to our technology. We may incorrectly conclude that a third-party patent is invalid, unenforceable or not infringed by our activities. Pending patent applications that have been published can, subject to certain limitations, be later amended in a manner that could cover our technology and product candidates. Because patent applications are maintained as confidential for a certain period of time, until the relevant application is published, we may be unaware of third-party patents that may be infringed by commercialization of any of our product candidates. Moreover, because patent applications can take many years to issue, there may be currently-pending patent applications that may later result in issued patents that our product candidates may infringe. Identification of third-party patent rights that may be relevant to our technology is difficult because patent searching is imperfect due to differences in terminology among patents, incomplete databases and ambiguity in the meaning of patent claims. Generative artificial intelligence resources that are publicly available also present a risk that a company may inadvertently obtain, incorporate or use a third party’s intellectual property.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may assert patent infringement claims against us directed at any of our product candidates based on existing patent applications or patents that may be granted in the future, regardless of their merit. Any patent-related legal action against us claiming damages and seeking to enjoin commercial activities relating to our products, treatment indications, or processes could subject us to significant liability for damages, including treble damages if we were determined to willfully infringe, and require us to obtain a license to manufacture or market our product candidates. Defense of these claims would involve substantial litigation expense and would be a substantial diversion of management and employee resources from our business. Because of the inevitable uncertainty in intellectual property litigation, we could lose a patent infringement or other action asserted against us regardless of our perception of the merits of the case.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agreements with some of our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certain information as company trade secrets. This information may relate to inventions that are not patentable or not optimally protected with patents. We use commercially acceptable practices to protect this information, including, for example, limiting access to the information and requiring passwords for our computers. Additionally, we execute confidentiality agreements with any third parties to whom we may provide access to the information and with our employees, consultants, scientific advisors, collaborators, vendors, contractors, and advisors. We cannot provide any assurances that all such agreements have been duly executed, and third parties may still obtain this information or may come upon this or similar information independently. It is possible that technology relevant to our business will be independently developed by a person who is not a party to such a confidentiality or invention assignment agreement. If any of our trade secrets were to be independently developed by a competitor or other third party, we would have no right to prevent such competitor or third party, or those to whom they communicate such independently developed information, from using that information to compete with us. We may not be able to prevent the unauthorized disclosure or use of our technical knowledge or trade secrets by contract manufacturers, consultants, collaborators, vendors, advisors, former employees and current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Monitoring unauthorized uses and disclosures is difficult and we do not know whether the steps we have taken to protect our proprietary technologies will be effective. Furthermore, if the parties to our confidentiality agreements breach or violate the terms of these agreements, we may not have adequate remedies for any such breach or violation, and we could lose our trade secrets as a consequence of such breaches or violations. Our trade secrets could otherwise become known or be independently discovered by our competitors. Additionally, if the steps taken to maintain our trade secrets are deemed inadequate, we may have insufficient recourse against third parties for misappropriating our trade secrets. If any of these events occurs or if we otherwise lose protection for our trade secrets, our business, financial condition, results of operation and prospects may be materially and adversely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have entered into and may in the future enter into non-disclosure and confidentiality agreements to protect the proprietary positions of third parties, such as collaborators, CROs, third-party manufacturers, consultants, potential partners and other third parties. We may become subject to litigation where a third party asserts that we or our employees or other third parties inadvertently or otherwise breached the agreements and used or disclosed trade secrets or other information proprietary to the third parties. Defense of any such claims, regardless of their merit, could involve substantial litigation expense and be a substantial diversion of resources from our business. We cannot predict whether we would prevail in any such claims.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including the loss of valuable intellectual property rights or personnel, all of which could adversely affect our business. Even if we are successful in defending against these claims, litigation could result in substantial costs and be a distraction to our management team and other employees.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and may in the future enter into license agreements with third parties to advance our research or allow commercialization of product candidates. These licenses may not provide us with exclusive rights in all relevant fields of use and in all territories in which we may wish to develop or commercialize our technology and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we may not have the right to control the preparation, filing, prosecution, maintenance, enforcement, and defense of patents and patent applications covering the technology that we license. If our licensors fail to prosecute, maintain, enforce, and defend, or lose rights to such patents or patent applications, the rights we have licensed may be reduced or eliminated, and our right to develop and commercialize any product that is the subject of such licensed rights could be adversely affected. Even where we have the right to control patent prosecution of patents and patent applications we have/will license from third parties, we may still be adversely affected or prejudiced by actions or inactions taken by or on behalf of our licensors prior to the date upon which we assumed control over patent prosecution.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licensors may have relied on third-party consultants or collaborators or on funds from third parties such that our licensors are not the sole and exclusive owners of the patents we in-licensed. If other third parties have ownership rights to our in-licensed patents, our rights to use the licensed intellectual property would not be exclusive and they may be able to license such patents to our competitors, permitting our competitors to market competing products and technology. This could have a material adverse effect on our competitive position, business, financial conditions,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licenses likely will impose, various diligence, royalty payment, milestone payment, insurance and other obligations on us. If we fail to comply with any of these or other obligations in our license agreements, we may be required to pay damages and the licensor may have the right to terminate the licenses. Termination by the licensor would cause us to lose valuable rights and could prevent us from developing and commercializing our product candidates and proprietary technologies. Our business would be seriously harmed if any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If any such event occurs, competitors or other third parties may gain the freedom to seek regulatory approval of, and to market, products identical to ours. Further, we may have to negotiate new or reinstated licenses with less favorable terms or we may not have sufficient intellectual property rights to operate our business. This could have a material adverse effect on our competitive position,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agreements under which we license intellectual property or technology from third parties are complex, and certain provisions in such agreements may be susceptible to multiple interpretations. Disputes may arise between us and our future licensors. In spite of our efforts, our future licensors might conclude that we have materially breached our obligations under our license agreements and might therefore terminate such license agreements, thereby removing our ability to develop and commercialize products and technology covered by these license agreements.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licensing arrangements on commercially acceptable terms, or are insufficient to provide us the necessary rights to use the intellectual property rights, we may be unable to successfully develop and commercialize the affected product candidates, which could have a material adverse effect on our business, financial conditions,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licensors may also own or control intellectual property that has not been licensed to us and, as a result, we may be subject to claims, regardless of their merit, that we are infringing or otherwise violating our licensor’s rights. In addition, while we cannot currently determine the amount of royalty obligations we would be required to pay on the sales of future products, if any, the amounts may be significant. The amount of our future royalty obligations will depend on the technology and intellectual property we use in product candidates that we successfully develop and commercialize, if any. Therefore, even if we successfully develop and commercialize any product candidates, we may be unable to achieve or maintain profitability.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It is difficult and costly to protect our intellectual property and our proprietary technologies, and we may not be able to ensure their protection.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will depend in part on obtaining and maintaining patent protection and trade secret protection for our proprietary genome editing systems, as well as on successfully defending these patents against potential third-party challenges. Our ability to protect our genome editing systems from unauthorized making, using, selling, offering to sell or importing by third parties is dependent on the extent to which we have rights under valid and enforceable patents that cover these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patent positions of pharmaceutical, biotechnology and other life sciences companies can be highly uncertain and involve complex legal and factual questions for which important legal principles remain unresolved and have in recent years been the subject of much litigation. Changes in either the patent laws or in interpretations of patent laws in the United States and other countries may diminish the value of our intellectual property. Over the past decade, U.S. federal courts have increasingly invalidated pharmaceutical and biotechnology patents during litigation often based on changing interpretations of patent law. Further, the determination that a patent application or patent claim meets all the requirements for patentability is a subjective determination based on the application of law and jurisprudence. The ultimate determination by the USPTO or by a court or other trier of fact in the United States, or corresponding foreign national patent offices or courts, on whether a claim meets all requirements of patentability cannot be assured. Although we have conducted searches for third-party publications, patents and other information that may affect the patentability of claims in our patent portfolio, we cannot be certain that all relevant information has been identified. Accordingly, we cannot predict the breadth of claims that may be allowed or enforced in our own patent portfolio.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provide assurances that any of our patent applications will be found to be patentable, including over our own prior art publications or patent literature, or will issue as patents. Neither can we make assurances as to the scope of any claims that may issue from our pending and future patent applications nor to the outcome of any proceedings by any potential third parties that could challenge the patentability, validity or enforceability of our patent portfolio in the United States or foreign jurisdictions. Any such challenge, if successful, could limit patent protection for our genome editing systems and/or materially harm our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challenges during litigation, third parties can challenge the validity of our patents in the United States using post-grant review and inter partes review proceedings, which some third parties have been using to cause the cancelation of selected or all claims of issued patents of competitors. For a patent filed March 16, 2013 or later, a petition for post-grant review can be filed by a third party in a nine-month window from issuance of the patent. A petition for inter partes review can be filed immediately following the issuance of a patent if the patent has an effective filing date prior to March 16, 2013. A petition for inter partes review can be filed after the nine-month period for filing a post-grant review petition has expired for a patent with an effective filing date of March 16, 2013 or later. Post-grant review proceedings can be brought on any ground of invalidity, whereas inter partes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used in litigation in U.S. federal courts. Therefore, it is generally considered easier for a competitor or third party to have a U.S. patent invalidated in a USPTO post-grant review or inter partes review proceeding than invalidated in a litigation in a U.S. federal court. If any of our patents are challenged by a third party in such a USPTO proceeding, there is no guarantee that we will be successful in defending the patent, which may result in a loss of the challenged patent right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generate sufficient data to support full patent applications that protect the entire breadth of developments in one or more of our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one or more of our pending patent applications will not become an issued patent or, if issued, that the patent(s) claims will have sufficient scope to protect our technology, provide us with commercially viable patent protection or provide us with any competitive advantages;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pending applications issue as patents, they may be challenged by third parties as invalid or unenforceable under United States or foreign laws;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successfully commercialize our genome editing systems, if approved, before our relevant patents expire;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the first to make the inventions covered by our patent portfolio;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develop additional proprietary technologies or genome editing systems that are separately patentable.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extent that we are unable to obtain and maintain patent protection for our genome editing systems, or in the event that such patent protection expires, it may no longer be cost-effective to extend our portfolio by pursuing additional development of any of our genome editing systems for follow-on indications.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products for an adequate amount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Patents have a limited lifespan. In the United States, if all maintenance fees are timely paid, the natural expiration of a patent is generally 20 years from its earliest priority claim, not including priority claims to provisional or foreign national applications. The patent term of a U.S. patent may be lengthened by patent term adjustment, which compensates a patentee for administrative delays by the USPTO in granting a patent, or may be shortened if a patent is terminally disclaimed over an earlier-filed patent.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extensions may be available, but the life of a patent, and the protection it affords, is limited. Given the amount of time required for the development, testing and regulatory review of new genome editing systems, patents protecting such genome editing systems might expire before or shortly after such genome editing systems are commercialized.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the Drug Price Competition and Patent Term Restoration Act of 1984 permits a Patent Term Extension (“PTE”) of up to five years beyond the normal expiration of the patent to compensate patent owners for loss of enforceable patent term due to the lengthy regulatory approval process. A PTE grant cannot extend the remaining term of a patent beyond a total of 14 years from the date of the product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PTE may only be applied once per product, and only with respect to an approved indication. In other words, only one patent (for example, covering the product itself, an approved use of said product, or a method of manufacturing said product) can be extended by PTE. We anticipate applying for PTE in the United States. Similar extensions may be available in other countries where we are prosecuting patents and we likewise anticipate applying for such extensions.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The granting of such patent term extensions is not guaranteed and is subject to numerous requirements. We might not be granted an extension because of, for example, failure to apply within applicable periods, failure to apply prior to the expiration of relevant patents or otherwise failure to satisfy any of the numerous applicable requirements. Additionally, administrative changes at the USPTO or other applicable regulatory patent authorities, such as reduced hiring and/or funding, may result in delays in issuance of a patent or in accrual of patent term extension, thereby reducing the amount of patent term extension that could otherwise be received. Administrative changes (</w:t>
      </w:r>
      <w:r>
        <w:rPr>
          <w:rFonts w:ascii="Times New Roman" w:hAnsi="Times New Roman"/>
          <w:i/>
          <w:color w:val="000000"/>
          <w:sz w:val="20"/>
        </w:rPr>
        <w:t>e.g.</w:t>
      </w:r>
      <w:r>
        <w:rPr>
          <w:rFonts w:ascii="Times New Roman" w:hAnsi="Times New Roman"/>
          <w:color w:val="000000"/>
          <w:sz w:val="20"/>
        </w:rPr>
        <w:t>, at the FDA or USPTO) may also lead to delays in review and analysis of requests for patent term extension, which could result in a patent term extension not being timely granted (</w:t>
      </w:r>
      <w:r>
        <w:rPr>
          <w:rFonts w:ascii="Times New Roman" w:hAnsi="Times New Roman"/>
          <w:i/>
          <w:color w:val="000000"/>
          <w:sz w:val="20"/>
        </w:rPr>
        <w:t>e.g.</w:t>
      </w:r>
      <w:r>
        <w:rPr>
          <w:rFonts w:ascii="Times New Roman" w:hAnsi="Times New Roman"/>
          <w:color w:val="000000"/>
          <w:sz w:val="20"/>
        </w:rPr>
        <w:t>, before the expiration of the patent). In addition, to the extent we wish to pursue patent term extension based on a patent that we in-license from a third party, we would need the cooperation of that third party. Moreover,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revenue.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the interpretation of patent law in the United States and other jurisdictions could diminish the value of patents in general, thereby impairing our ability to protect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United States Congress is responsible for passing laws establishing patentability standards. As with any laws, implementation is left to federal agencies and the federal courts based on their interpretations of the laws. Interpretation of patent standards can vary significantly within the USPTO, and across the various federal courts, including the U.S. Supreme Court. Recently, the Supreme Court has ruled on several patent cases, generally limiting the types of inventions that can be patented. Further, there are open questions regarding interpretation of patentability standards that the Supreme Court has yet to decisively address. Absent clear guidance from the Supreme Court, the USPTO has become increasingly conservative in its interpretation of patent laws and standards.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increasing uncertainty with regard to our ability to obtain patents in the future, the legal landscape in the U.S. has created uncertainty with respect to the value of patents. Depending on any actions by Congress, and future decisions by the lower federal courts and the U.S. Supreme Court, along with interpretations by the USPTO, the laws and regulations governing patents could change in unpredictable ways and could weaken our ability to obtain new patents or to enforce our existing patents and patents that we might obtain in the future.</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U.S. Supreme Court has ruled on several patent cases in recent years; these cases often narrow the scope of patent protection available to inventions in the biotechnology and pharmaceutical spaces. For example, in </w:t>
      </w:r>
      <w:r>
        <w:rPr>
          <w:rFonts w:ascii="Times New Roman" w:hAnsi="Times New Roman"/>
          <w:i/>
          <w:color w:val="000000"/>
          <w:sz w:val="20"/>
        </w:rPr>
        <w:t xml:space="preserve">Association for Molecular Pathology v. Myriad Genetics, Inc. </w:t>
      </w:r>
      <w:r>
        <w:rPr>
          <w:rFonts w:ascii="Times New Roman" w:hAnsi="Times New Roman"/>
          <w:color w:val="000000"/>
          <w:sz w:val="20"/>
        </w:rPr>
        <w:t>(“</w:t>
      </w:r>
      <w:r>
        <w:rPr>
          <w:rFonts w:ascii="Times New Roman" w:hAnsi="Times New Roman"/>
          <w:i/>
          <w:color w:val="000000"/>
          <w:sz w:val="20"/>
        </w:rPr>
        <w:t>Myriad</w:t>
      </w:r>
      <w:r>
        <w:rPr>
          <w:rFonts w:ascii="Times New Roman" w:hAnsi="Times New Roman"/>
          <w:color w:val="000000"/>
          <w:sz w:val="20"/>
        </w:rPr>
        <w:t xml:space="preserve">”), the Supreme Court ruled that a “naturally occurring DNA segment is a product of nature and not patent eligible merely because it has been isolated,” and invalidated Myriad Genetics’ claims on the isolated BRCA1 and BRCA2 genes. Certain claims of our patent portfolio relate to genome editing systems. While we believe that our proprietary genome editing systems involve significant human intervention, components of the system, such as the isolated nucleases with no modifications, are derived from naturally-occurring products. To the extent that such claims are deemed to be directed to natural products, or to lack an inventive concept above and beyond an isolated natural product, a court may decide the claims are directed to patent-ineligible subject matter and are invalid. The application of </w:t>
      </w:r>
      <w:r>
        <w:rPr>
          <w:rFonts w:ascii="Times New Roman" w:hAnsi="Times New Roman"/>
          <w:i/>
          <w:color w:val="000000"/>
          <w:sz w:val="20"/>
        </w:rPr>
        <w:t xml:space="preserve">Myriad </w:t>
      </w:r>
      <w:r>
        <w:rPr>
          <w:rFonts w:ascii="Times New Roman" w:hAnsi="Times New Roman"/>
          <w:color w:val="000000"/>
          <w:sz w:val="20"/>
        </w:rPr>
        <w:t>to biotechnology inventions has continued to develop and may continue to change over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Subsequent rulings in cases or guidance or procedures issued by the USPTO relating to patent eligibility may have a negative impact on our business.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w:t>
      </w:r>
      <w:r>
        <w:rPr>
          <w:rFonts w:ascii="Times New Roman" w:hAnsi="Times New Roman"/>
          <w:i/>
          <w:color w:val="000000"/>
          <w:sz w:val="20"/>
        </w:rPr>
        <w:t xml:space="preserve">Amgen Inc. v. Sanofi </w:t>
      </w:r>
      <w:r>
        <w:rPr>
          <w:rFonts w:ascii="Times New Roman" w:hAnsi="Times New Roman"/>
          <w:color w:val="000000"/>
          <w:sz w:val="20"/>
        </w:rPr>
        <w:t>(“</w:t>
      </w:r>
      <w:r>
        <w:rPr>
          <w:rFonts w:ascii="Times New Roman" w:hAnsi="Times New Roman"/>
          <w:i/>
          <w:color w:val="000000"/>
          <w:sz w:val="20"/>
        </w:rPr>
        <w:t>Amgen</w:t>
      </w:r>
      <w:r>
        <w:rPr>
          <w:rFonts w:ascii="Times New Roman" w:hAnsi="Times New Roman"/>
          <w:color w:val="000000"/>
          <w:sz w:val="20"/>
        </w:rPr>
        <w:t xml:space="preserve">”), the U.S. Supreme Court held that certain of Amgen’s patent claims defined a class of antibodies by their function of binding to a particular antigen. The U.S. Supreme Court further wrote that because the patent claims defined the claimed class of antibodies only by their function of binding to a particular antigen, a skilled artisan would have to use significant trial and error to identify and make all of the molecules in that class. The U.S. Supreme Court ultimately held that Amgen failed to properly enable its patent claims. Certain claims of our patent portfolio relate to broad classes of gene editors. To the extent that a court finds that the skilled artisan would need significant trial and error to identify all the gene editors in that class, the court may find the claims invalid under </w:t>
      </w:r>
      <w:r>
        <w:rPr>
          <w:rFonts w:ascii="Times New Roman" w:hAnsi="Times New Roman"/>
          <w:i/>
          <w:color w:val="000000"/>
          <w:sz w:val="20"/>
        </w:rPr>
        <w:t>Amgen</w:t>
      </w:r>
      <w:r>
        <w:rPr>
          <w:rFonts w:ascii="Times New Roman" w:hAnsi="Times New Roman"/>
          <w:color w:val="000000"/>
          <w:sz w:val="20"/>
        </w:rPr>
        <w:t>.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a new court system recently became operational in the European Union. The Unified Patent Court (“UPC”) began accepting patent cases on June 1, 2023. The UPC is a common patent court with jurisdiction over patent infringement and revocation proceedings effective for multiple member states of the European Union. The broad geographic reach of the UPC could enable third parties to seek revocation of any of our European patents in a single proceeding at the UPC rather than through multiple proceedings in each of the individual European Union member states in which the European patent is validated. Under the UPC, a successful revocation proceeding for a European Patent under the UPC would result in loss of patent protection in those European Union countries. Accordingly, a single proceeding under the UPC could result in the partial or complete loss of patent protection in numerous European Union countries. Such a loss of patent protection could have a material adverse impact on our business and our ability to commercialize our technology and product candidates and, resultantly, on our business, financial condition, prospects and results of operations. Moreover, the controlling laws and regulations of the UPC will develop over time and we cannot predict what the outcomes of cases tried before the UPC will be. The case law of the UPC may adversely affect our ability to enforce or defend the validity of our European patents. Patent owners have the option to opt-out their European Patents from the jurisdiction of the UPC, defaulting to pre-UPC enforcement mechanisms. We have decided to opt out certain European patents and patent applications from the UPC. However, if certain formalities and requirements are not met, our European patents and patent applications could be subject to the jurisdiction of the UPC. We cannot be certain that our European patents and patent applications will avoid falling under the jurisdiction of the UPC, if we decide to opt out of the UPC.</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not be able to seek or obtain patent protection throughout the world or enforce such patent protection once obtained.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Filing, prosecuting, enforcing, and defending patents protecting our genome editing systems in all countries throughout the world would be prohibitively expensive, and our intellectual property rights in some countries outside the United States can be less extensive than those in the United States. The requirements for patentability may differ in certain countries, particularly in developing countries; thus, even in countries where we do pursue patent protection, there can be no assurance that any patents will issue with claims that cover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or from selling or importing products made from our inventions in and into the United States or other jurisdictions. Competitors may use our technologies in jurisdictions where we have not obtained patent protection to develop and market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Proceedings to enforce our patent rights, whether successful or not, could result in substantial costs and divert our efforts and resources from other aspects of our business. Further, such proceedings could put our patents at risk of being invalidated, held unenforceable or interpreted narrowly; put our pending patent applications at risk of not issuing; and provoke third parties to assert claims against us. We may not prevail in any lawsuits that we initiate, and the damages or other remedies awarded, if any, may not be commercially meaningful.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while we intend to protect our intellectual property rights in major markets for our products, we cannot ensure that we will be able to initiate or maintain similar efforts in all jurisdictions in which we may wish to market our products, if approved. Accordingly, our efforts to protect our intellectual property rights in such countries may be inadequate.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231F20"/>
          <w:sz w:val="20"/>
        </w:rPr>
      </w:pPr>
      <w:r>
        <w:rPr>
          <w:rFonts w:ascii="Times New Roman" w:hAnsi="Times New Roman"/>
          <w:color w:val="231F20"/>
          <w:sz w:val="20"/>
        </w:rPr>
        <w:t>Geo-political actions in the U.S. and in foreign countries (such as retaliatory measures by foreign countries in response to actions by the United States, in particular, tariffs)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invasion of Ukraine may limit or prevent filing, prosecution, and maintenance of patent applications in Russia. Government actions may also prevent filing, prosecution and maintenance of issued patents in Russia. These circumstances could result in abandonment or lapse of our patents or patent applications, resulting in partial or complete loss of patent rights in Russia. Further, many foreign countries could threaten to impose retaliatory measures that may adversely impact our intellectual property rights in those countries. For example, on March 14, 2025, Brazil enacted Law No. 15. 122/2025, known as the Economic Reciprocity Law, which provides a framework that allows for the suspension of obligations related to foreign entity’s intellectual property rights. If such an event were to occur, it could have a material adverse effect on our business. In addition, jurisdictions outside of the U.S. could also permit our patents to be exploited without consent or compensation. In such circumstances we would not be able to prevent third parties from practicing our inventions or from selling or importing products made using our inventions in and into such jurisdictions. Accordingly, our competitive position may be impaired, and our business, financial condition, results of operations and prospects may be adversely affected.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 order to protect our competitive position around our future product candidates, we may become involved in lawsuits to enforce our patents or other intellectual property, which could be expensive, time consuming and unsuccessful and which may result in our patents being found invalid or unenforceable.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Competitors may seek to commercialize competitive products to our genome editing systems. In order to protect our competitive position, we may become involved in lawsuits asserting infringement of our patents, or misappropriation or other violations of other of our intellectual property rights. Litigation is expensive and time consuming and would likely divert the time and attention of our management and scientific personnel. There can be no assurance that we will have sufficient financial or other resources to file and pursue such infringement claims, which typically last for years before they are concluded. Additionally, we may be subject to claims of patent infringement during those proceedings, and delays caused by the federal agencies may increase the time period that we are subject to such claims. For example, administrative changes, including reduced staff and budgets experienced by the Patent and Trial Appeal Board, could further delay our ability to timely challenge any such patents. Even if we ultimately prevail in such claims, the monetary cost of such litigation and the diversion of the attention of our management and scientific personnel could outweigh any benefit we receive as a result of the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file a patent infringement lawsuit against a perceived infringer, such a lawsuit could provoke the defendant to counterclaim that we infringe their patents and/or that our patents are invalid and/or unenforceable. In patent litigation in the United States, it is commonplace for a defendant to counterclaim alleging invalidity and/or unenforceability. In any patent litigation there is a risk that a court will decide that the asserted patents are invalid or unenforceable, in whole or in part, and that we do not have the right to stop the defendant from using the invention at issue. With respect to a counterclaim of invalidity, we cannot be certain that there is no invalidating prior art of which we and the patent examiner were unaware during prosecution. There is also a risk that, even if the validity of such patents is upheld, the court will construe the patent claims narrowly or decide that we do not have the right to stop the other party from using the invention at issue on the grounds that our patent claims do not cover the invention. If any of our patents are found invalid or unenforceable, or construed narrowly, our ability to stop the other party from launching a competitive product would be materially impaired. Further, such adverse outcomes could limit our ability to assert those patents against future competitors. Loss of patent protection would have a material adverse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 if we establish infringement of any of our patents by a competitive product, a court may decide not to grant an injunction against further infringing activity, thus allowing the competitive product to continue to be marketed by the competitor. It is difficult to obtain an injunction in U.S. litigation and a court could decide that the competitor should instead pay us a “reasonable royalty” as determined by the court, and/or other monetary damages. A reasonable royalty or other monetary damages may or may not be an adequate remedy. Loss of exclusivity and/or competition from a related product would have a material adverse impact on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Litigation often involves significant amounts of public disclosures. Such disclosures could have a materially adverse impact on our competitive position or our stock prices. During any litigation we would be required to produce voluminous records related to our patents and our research and development activities in a process called discovery. The discovery process may result in the disclosure of some of our confidential information. There could also be public announcements of the results of hearings, motions or other interim proceedings or developments. If securities analysts or investors perceive these results to be negative, it could adversely affect the price of our common shares.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Litigation is inherently expensive, and the outcome is often uncertain. Any litigation likely would substantially increase our operating losses and reduce our resources available for development activities. Further,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As a result, we may conclude that even if a competitor is infringing any of our patents,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in the future, we in-license any patent rights, we may not have the right to file a lawsuit for infringement and may have to rely on a licensor to enforce these rights for us. If we are not able to directly assert our licensed patent rights against infringers or if a licensor does not vigorously prosecute any infringement claims on our behalf, we may have difficulty competing in certain markets where such potential infringers conduct their business, and our commercialization efforts may suffer as a result.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Concurrently with an infringement litigation, third parties may also be able to challenge the validity of our patents before administrative bodies in the United States or abroad. Such mechanisms include re-examination, post grant review and equivalent proceedings in foreign jurisdictions, e.g., opposition proceedings. Such proceedings could result in revocation or amendment of our patents in such a way that they no longer cover our products, potentially negatively impacting any concurrent litigation.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sued for infringing intellectual property rights of third parties, such litigation could be costly and time consuming and could prevent or delay us from developing or commercializing our genome editing systems.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develop, manufacture, market and sell our genome editing systems without infringing, misappropriating or otherwise violating the intellectual property and other proprietary rights of third parties. However, our research, development and commercialization activities may be subject to claims that we infringe, misappropriate or otherwise violate patents or other intellectual property rights owned or controlled by third parties. Third parties may have U.S. and non-U.S. issued patents and pending patent applications relating to compounds, methods of manufacturing compounds and/or methods of use for the treatment of the disease indications for which we are developing our genome editing systems. If any third-party patents or patent applications are found to cover our genome editing systems, or their methods of use or manufacture, we may not be free to manufacture or market such genome editing systems as planned without obtaining a license, which may not be available on commercially reasonable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is a substantial amount of intellectual property litigation in the biotechnology and pharmaceutical industries, and we may become party to, or threatened with, litigation or other adversarial proceedings regarding intellectual property rights with respect to our genome editing systems, including patent infringement lawsuits in the U.S. or abroad. There may be third-party patents or patent applications with claims to materials, formulations, methods of manufacture or methods for treatment related to the composition, use or manufacture of our genome editing systems. Third parties may assert infringement claims against us based on existing patents that they own or in-license or patents that may grant to them (or which they may in-license) in the future, regardless of the merit of such patents or infringement claims. If our defenses to such assertions of infringement were unsuccessful, we could be liable for a court-determined reasonable royalty on our existing sales and further damages to the patent owner (or licensee), such as lost profits. Such royalties and damages could be significant. If we are found to have willfully infringed the claims of a third party’s patent, the third party could be awarded treble damages and attorney’s fees. Further, unless we obtain a license to such patent, we may be precluded from commercializing the infringing genome editing system. Any of the aforementioned could have a material adverse effect on our business, financial condition, results of operations and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perform periodic searches for relevant patents and patent applications with respect to our genome editing systems, including Cas proteins and therapeutic applications, we cannot guarantee the completeness or thoroughness of any of our patent searches or analyses including, but not limited to, the identification of relevant patents, the scope of patent claims or the expiration of relevant patents, nor can we be certain that we have identified each and every patent and pending application in the United States and abroad that is relevant to or necessary for the commercialization of any of our genome editing systems in any jurisdiction. Because patent applications can take many years to issue, there may be currently pending patent applications which may later result in issued patents that any of our genome editing systems may be accused of infringing. In addition, third parties may obtain patents in the future and claim that use of our technologies infringes upon these patents. Accordingly, third parties may assert infringement claims against us based on intellectual property rights that exist now or arise in the future. The outcome of intellectual property litigation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use or manufacture. The scope of protection afforded by a patent is subject to interpretation by the courts, and the interpretation is not always uniform. If we were sued for patent infringement, we would need to demonstrate that the relevant product or methods of using the product either do not infringe the patent claims of the relevant patent or that the patent claims are invalid or unenforceable,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significantly harm our business and operating results. In addition, parties making claims against us may be able to sustain the costs of complex patent litigation more effectively than we can because they have substantially greater resources, and we may not have sufficient resources to bring these actions to a successful conclusion.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Numerous third-party U.S. and foreign issued patents and pending patent applications exist in the fields in which we are developing genome editing systems. Our genome editing systems make use of CRISPR-based technology, which is a field that is highly active for patent filings and complex litigation. As of July 2025, it was reported that approximately 21,000 patent families worldwide cover CRISPR related inventions and their uses. That number has continued to increase. The extensive patent filings related to CRISPR make it difficult for us to assess the full extent of relevant patents and pending applications that may cover our genome editing systems and their use or manufacture. There may be third-party patents or patent applications with claims to materials, formulations, methods of manufacture or methods for treatment related to the use or manufacture of our genome editing systems. We are aware of multiple patents and patent applications directed to CRISPR technologies, Cas molecules, and their uses in genome editing. For example, we are aware of patent portfolios related to CRISPR/Cas genome editing systems that are owned or co-owned by Sigma Aldrich, Stanford University and Agilent Technologies, the Broad Institute and/or Harvard University and/or the Massachusetts Institute of Technology (“MIT”), and Targetgene Biotechnologies. We are also aware of patent portfolios related to base editing systems that are owned or co-owned by Beam Therapeutics, the Broad Institute and/or Harvard University and/or MIT, the University of California, Duke University, Kobe University, the Max Planck Institute, Wageningen University, ASC Therapeutics Inc, CRISPR Therapeutics, Bayer Healthcare LLC, Board of Regents of The University of Texas System and Bioray Laboratories. We are also aware of patent portfolios related to CRISPR associated transposase/retro-transposase (“CAST”) systems that are owned or co-owned by the Broad Institute, Arbor Biotechnologies, and the University of Rochester.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Intellectual property litigation is common in the biotechnology space and multiple parties have engaged in litigation to protect and enforce their CRISPR/Cas related patent estates. For example, patents and patent applications directed to catalytically-active Cas9 systems have been the subject of extensive adversarial patent office proceedings. These proceedings include USPTO Patent Trial and Appeal Board (“PTAB”) proceedings involving the Broad Institute and the University of California regarding the priority of inventions with respect to certain U.S. patents and patent applications each owns directed to catalytically-active Cas9. Our genome editing technologies do not use catalytically-active Cas9 and we are not aware of any valid third-party patents or patent applications that we believe cover our Cas-related genome editing system and proprietary technology. However, we may not have identified all relevant third-party patents and patent applications. Therefore, there can be no assurance that third parties will not assert patents against us in the future or that our patents and patent applications will not be challenged. Any litigation brought against us or our patents or patent applications, even if meritless,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found to infringe, misappropriate or otherwise violate a third party’s intellectual property rights, we could be forced, including by court order, to cease developing, manufacturing or commercializing the infringing product. Alternatively, we may be required to obtain a license from such third party in order to use the infringing technology and continue developing, manufacturing or marketing the infringing product. If we were required to obtain a license to continue to manufacture or market the affected product, we may be required to pay substantial royalties or grant cross-licenses to our patents. Even if we were able to obtain a license, it could be nonexclusive, thereby giving our competitors and other third parties access to the same technologies licensed to us. We cannot assure you that any such license will be available on acceptable terms, if at all.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Ultimately, we could be prevented from commercializing a product, or be forced to cease some aspect of our business operations as a result of claims of patent infringement or violation of other intellectual property rights, Further, the outcome of intellectual property litigation is subject to uncertainties that cannot be adequately quantified in advance, including the demeanor and credibility of witnesses and the identity of any adverse party. This is especially true in intellectual property cases that may turn on the testimony of experts as to technical facts upon which experts may reasonably disagree. Furthermore, we may not be able to obtain any required license on commercially reasonable terms or at all. Even if we were able to obtain a license, it could be non-exclusive, thereby giving our competitors access to the same technologies licensed to us; alternatively or additionally it could include terms that impede or destroy our ability to compete successfully in the commercial marketplace. In addition, we could be found liable for significant monetary damages, including treble damages and attorneys’ fees if we are found to have willfully infringed a patent. A finding of infringement could prevent us from commercializing a product or force us to cease some of our business operations, which could harm our business. Claims that we have misappropriated the confidential information or trade secrets of third parties could have a similar negative impact on our business.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have a material adverse effect on our business, results of operations, financial condition and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Others may challenge inventorship or claim an ownership interest in our intellectual property which could expose it to litigation and have a significant adverse effect on its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Determinations of inventorship can be subjective. While we undertake to accurately identify correct inventorship of inventions made on our behalf by our employees, consultants and contractors, an employee, consultant or contractor may disagree with our determination of inventorship and assert a claim of inventorship. Any disagreement over inventorship could result in our being forced to defend our determination of inventorship in a legal action which could result in substantial costs and be a distraction to our senior management and scientific personnel.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we typically require employees, consultants and contractors who may develop intellectual property on our behalf to execute agreements assigning such intellectual property to us, we may be unsuccessful in obtaining execution of assignment agreements with each party who in fact develops intellectual property that we regard as our own. Moreover, even when we obtain agreements assigning intellectual property to us, the assignment of intellectual property rights may not be self-executing or the assignment agreements may be breached. In either case,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If we are unsuccessful in obtaining assignment agreements from an employee, consultant or contractor who develops intellectual property on our behalf, the employee, consultant or contractor may later claim ownership of the invention. Any disagreement over ownership of intellectual property could result in our losing ownership, or exclusive ownership, of the contested intellectual property, paying monetary damages and/or being enjoined from clinical testing, manufacturing and marketing of the affected product candidate(s). Even if we are successful in prosecuting or defending against such claims, litigation could result in substantial costs and be a distraction to our senior management and scientific personnel.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be subject to claims by third parties asserting that our employees or we have misappropriated their intellectual property or claiming ownership of what we regard as our own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current and former employees and our licensors’ current and former employees, including our senior management, were previously employed at universities or at other biotechnology or pharmaceutical companies, including some which may be competitors or potential competitors. Although we take commercially reasonable steps to ensure that our employees do not use the proprietary information, know-how or trade secrets of others in their work for us, including incorporating such intellectual property into our genome editing systems, we may be subject to claims that we or these employees have misappropriated the intellectual property of a third party.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or any of our employees are accused of misappropriating the proprietary information, know-how or trade secrets of a third party, we may be forced to defend such claims in litigation. If we are found to have misappropriated the intellectual property rights of a third party, we may be forced to pay monetary damages, sustain reputational damage, lose key personnel, or lose valuable intellectual property rights. Further, it may become necessary for us to obtain a license from such third party to commercialize any of our genome editing systems. Such a license may not be available on commercially reasonable terms or at all. Any of the aforementioned could materially affect the commercialization of any of our genome editing systems. Even if we are successful in defending against such claims, litigation could result in substantial costs and be a distraction to management.</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 proprietary trade secrets or confidential know-how and unpatented know-how to be important to our business. We may rely on trade secrets or confidential know-how to protect our technology, especially where patent protection is believed by us to be of limited value. We expect to rely on third parties for future manufacturing of our genome editing systems, and any future genome editing systems. We also expect to collaborate with third parties on the development of our genome editing systems and any future genome editing systems. As a result of the aforementioned collaborations, we must, at times, share trade secrets with our collaborators. We also conduct joint research and development programs that may require us to share trade secrets under the terms of our research and development partnerships or similar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Trade secrets or confidential know-how can be difficult to maintain as confidential. To protect this type of information against disclosure or appropriation by competitors, our policy is to require our employees, consultants, contractors and advisors to enter into confidentiality agreements and, if applicable, material transfer agreements, consulting agreements or other similar agreements with us prior to beginning research or disclosing proprietary information. These agreements typically limit the rights of the third parties to use or disclose our confidential information, including our trade secrets. However,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 and results of operations. Enforcing a claim that a third party obtained illegally and is using trade secrets or confidential know-how is expensive, time consuming and unpredictable. The enforceability of confidentiality agreements may vary from jurisdiction to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these agreements typically restrict the ability of our advisors, employees, third-party contractors and consultants to publish data potentially relating to our trade secrets, although our agreements may contain certain limited publication rights.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need to acquire or license additional intellectual property from third parties, and such licenses may not be available or may not be available on commercially reasonable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third party may hold intellectual property, including patent rights that are important or necessary to the development of our genome editing systems. It may be necessary for us to use the patented or proprietary technology of one or more third parties to commercialize our current and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licensing and acquisition of third-party intellectual property rights is a competitive area, and a number of more established companies may pursue strategies to license or acquire third-party intellectual property rights that we may consider attractive. These established companies may have a competitive advantage over us due to their size, cash resources and greater clinical development. If we are unable to acquire such intellectual property outright, or obtain licenses to such intellectual property from such third parties when needed or on commercially reasonable terms, our ability to commercialize our genome editing systems, if approved, would likely be delayed or we may have to abandon development of that product genome editing systems or program and our business and financial condition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in-license additional genome editing systems in the future, we might become dependent on proprietary rights from third parties with respect to those genome editing systems. Any termination of such licenses could result in the loss of significant rights and would cause material adverse harm to our ability to develop and commercialize any genome editing systems subject to such licenses. Even if we are able to in-license any such necessary intellectual property, it could be on nonexclusive terms, including with respect to the use, field or territory of the licensed intellectual property, thereby giving our competitors and other third parties access to the same intellectual property licensed to us. In-licensing IP rights could require us to make substantial licensing and royalty payments. Patents licensed to us could be put at risk of being invalidated or interpreted narrowly in litigation filed by or against our licensors or another licensee or in administrative proceedings. If any in-licensed patents are invalidated or held unenforceable, we may not be able to prevent competitors or other third parties from developing and commercializing competitive products.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have the right to control the prosecution, maintenance, enforcement or defense of patents and patent applications that we license from third parties. In such cases, we would be reliant on the licensor to take any necessary actions. We cannot be certain that such licensor would act with our best interests in mind, or in compliance with applicable laws and regulations, or that their actions would result in valid and enforceable patents. For example, it is possible that a licensor’s actions in enforcing and/or defending a patent licensed by use may be less vigorous than had we conducted them ourselves. Any of the foregoing could have a material adverse effect on our business, financial condition, results of operations and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Disputes may also arise between us and our licensors regarding intellectual property subject to a license agreement,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rights granted under the license agreement and other interpretation-related issues;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or other obligations under the license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and the extent to which our technology and processes infringe intellectual property of the licensor that is not subject to the licensing agreement;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right to sublicense patent and other rights to third parties under collaborative development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with respect to the use of licensed technology in relation to our development and commercialization of our genome editing systems and what activities satisfy those diligence obligations;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ownership of inventions and know-how resulting from the joint creation or use of intellectual property by our licensors and us and our partners;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priority of invention of patented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disputes over intellectual property that we have licensed prevent or impair our ability to maintain our current licensing arrangements on acceptable terms, we may be unable to successfully develop and commercialize the affected genome editing systems.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risks described elsewhere pertaining to our intellectual property rights also apply to the intellectual property rights that we may own or in-license now or in the future, and any failure by us or our licensors to obtain, maintain, defend and enforce these rights could have an adverse effect on our business. In some cases we may not have control over the prosecution, maintenance or enforcement of the patents that we license, and may not have sufficient ability to provide input into the patent prosecution, maintenance and defense process with respect to such patents, and potential future licensors may fail to take the steps that we believe are necessary or desirable in order to obtain, maintain, defend and enforce the licensed patents.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our trademarks and trade names are not adequately protected, then we may not be able to build name recognition in our trademarks of interest and our business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trademarks or trade names may be challenged, infringed, circumvented or declared generic or determined to be infringing on other marks. We rely on both registration and common law protection for our trademarks. As a means to enforce our trademark rights and prevent infringement, we may be required to file trademark claims against third parties or initiate trademark opposition proceedings. This can be expensive and time-consuming, particularly for a company of our size. We may not be able to protect our rights to these trademarks and trade names or may be forced to stop using these names, which we need for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long-term, if we are unable to establish name recognition based on our trademarks and trade names, then we may not be able to compete effectively and our business may be adversely affected.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cancelation proceedings may be filed against our trademarks, and our trademarks may not survive such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any name we propose to use for our products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not infringe the existing rights of third parties and be acceptable to the FDA. If we are unable to establish name recognition based on our trademarks and trade names, we may not be able to compete effectively and our business may be adversely affected.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be able to make products that are competitive to our genome editing systems or any of our future genome editing systems but that are not covered by the claims of our patent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independently develop similar or alternative technologies or otherwise circumvent any of our technologies without infringing our patent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any of our collaborators might not have been the first to invent the inventions covered by our patent portfolio;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any of our collaborators might not have been the first to file patent applications covering certain of the patents or patent applications that we or they own or have obtained a license, or will own or will have obtained a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possible that our pending patent applications or those that we may file in the future will not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others may have access to the same intellectual property rights licensed to us on a non-exclusive basis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issued patents that we own may not provide us with any competitive advantage, or may be held invalid or unenforceable, including as a result of legal challenges by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competitors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ownership of our patent portfolio may be challenged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third parties or pending or future applications of third parties, if issued, may have an adverse effect on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patent enforcement is expensive and time-consuming and difficult to predict; thus, we may not be able to enforce any of our patents against a competitor;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application for certain inventions, instead choosing to rely on trade secret protection, and a third party may subsequently file a patent covering such intellectual property.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Common Stock, and Operating as a Public Company</w:t>
      </w:r>
    </w:p>
    <w:p>
      <w:pPr>
        <w:pStyle w:val="TextBody"/>
        <w:bidi w:val="0"/>
        <w:spacing w:before="240" w:after="283"/>
        <w:jc w:val="left"/>
        <w:rPr>
          <w:rFonts w:ascii="Times New Roman" w:hAnsi="Times New Roman"/>
          <w:sz w:val="20"/>
        </w:rPr>
      </w:pPr>
      <w:r>
        <w:rPr>
          <w:rFonts w:ascii="Times New Roman" w:hAnsi="Times New Roman"/>
          <w:b/>
          <w:i/>
          <w:color w:val="000000"/>
          <w:sz w:val="20"/>
        </w:rPr>
        <w:t>The market price of our common stock has been, and may continue to be, volatile, which could result in substantial losses for investors</w:t>
      </w:r>
      <w:r>
        <w:rPr>
          <w:rFonts w:ascii="Times New Roman" w:hAnsi="Times New Roman"/>
          <w:b/>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for our common stock may be influenced by those factors discussed in this “Risk Factors” section and many others, some of which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existing or new competitive product candidates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results of preclinical studies and clinical trials for any product candidates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or discontinuation of any of our development and research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any preclinical studies, clinical trials or regulatory approvals of product candidates of our competitors, or announcements about new research programs or product candidates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changing views regarding the use of genetic therapies, including those that involve genome editing;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commencement or termination of collaborations for our product development and research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intellectual property or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expenses related to any of our research programs, clinical development programs or product candidates that we may develop;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our efforts to develop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 if any, that cover our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other stockholders, including under our ATM Sales Agreement with Jefferies;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of any pending or future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such as those arising from U.S.-China relations, interest rate fluctuations and inflation or deflation;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health pandemics, epidemics or outbreaks of a contagious illness;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tensions or the outbreak of hostilities or war, including from the ongoing Russia-Ukraine conflict, the current conflicts in Iran and the Middle East (including any escalation or expansion), the current conflict in Venezuela and increasing tensions between China and Taiwan;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other factors described in this “Risk Factors” section.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In particular, in relation to uncertainty around inflation and the U.S. Federal Reserve’s measures to slow inflation, the stock market has been exceptionally volatile. Market and industry factors may seriously affect the market price of our common stock, regardless of our actual operating performance. Following periods of such volatility in the market price of a company’s securities, securities class action litigation has often been brought against that company.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currently, and may in the future be, subject to securities litigation, which is expensive and could divert management attention. This lawsuit, and potential similar or related lawsuits, could result in substantial damages, divert management’s time and attention from our business, and have a material adverse effect on our financial position, results of operations or cash flows.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Securities-related class action lawsuits and/or derivative lawsuits have often been brought against companies, including pharmaceutical and biotechnology companies, that experience volatility in the market price of their securities. This risk is especially relevant for us because we often experience significant stock price volatility in connection with our development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26, 2024, a class action complaint was filed in the U.S. District Court for the Northern District of California against our company and certain of our officers and certain of our current and former directors, captioned Vreeland v. Metagenomi Inc. et al., No. 5:24-cv-06765 (the “Securities Action”). The Securities Action alleges violations of Section 11 of the Securities Act against all defendants and control person violations of Section 15 against the individuals. The Securities Action alleges that the defendants made misleading statements and omitted to disclose material information concerning our collaboration with Moderna in our registration statement and final prospectus materials filed in January 2024 and February 2024. The Securities Action seeks, among other things, compensatory damages as well as costs and expenses, including attorneys’ fees and expert fees. On February 10, 2025, the court appointed Mingxi Bi as lead plaintiff, and the lead plaintiff filed an amended complaint on April 4, 2025. On May 16, 2025, all defendants filed a motion to dismiss the claims of the Securities Action. On March 24, 2026, the Court granted-in-part and denied-in-part defendants’ motion to dismiss. Defendants’ response to the operative complaint is due on May 27, 2026. We intend to defend vigorously against this litigation.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this time, no assessment can be made as to the likely outcome, therefore we cannot determine the likelihood of loss, if any, nor estimate a range of possible loss. We may also become subject to additional securities class action lawsuits in the future. The cost of defending against these types of claims against us or the ultimate resolution of such claims, whether by settlement or adverse court decision, may harm our business. Further, potential claimants may be encouraged to bring lawsuits based on a settlement from us or adverse court decisions against us. We cannot currently assess the likely outcome of such suits, but the commencement and/or resolution of such suits (particularly if the outcome were negative), could have a material adverse effect on our reputation, financial position, results of operations and cash flows. They could also cause a decline in the market price of our common stock.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incurred, and continue to incur, increased costs as a result of operating as a public company, and our management is required to devote substantial time to compliance initiatives and corporate governance practices.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a public company, and particularly after we are no longer an “emerging growth company,” we have incurred, and continue to incur, significant legal, accounting and other expenses that we did not incur as a private company. The Sarbanes-Oxley Act of 2002 (“SOX”),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We expect that we will need to hire additional accounting, finance and other personnel in connection with our efforts to comply with the requirements of being a public company. Our management and other personnel will need to devote a substantial amount of time towards maintaining compliance with these requirements. These requirements will increase our legal and financial compliance costs and will make some activities more time-consuming and costly. For example, we expect that the rules and regulations applicable to us as a public company may make it more difficult and more expensive for us to obtain director and officer liability insurance, which could make it more difficult for us to attract and retain qualified members of our Board.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SOX Section 404, we are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SOX Section 404 within the prescribed period, we have been engaged in a process to document and evaluate our internal control over financial reporting, which is both costly and challenging. In this regard, we will need to continue to dedicate internal resources and engage outside consultants,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in the future we will not be able to conclude, within the prescribed timeframe or at all, that our internal control over financial reporting is effective as required by SOX Section 404. This could result in an adverse reaction in the financial markets due to a loss of confidence in the reliability of our financial statements.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do not know whether a market will be sustained for our common stock or what the market price of our common stock will be, and, as a result, it may be difficult for you to sell your shares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our common stock is listed on the Nasdaq Global Select Market, an active or liquid market in our common stock may not be sustained. If a market for our common is not sustained, it may be difficult for you to sell your shares of common stock at an attractive price or at all.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sales of our common stock in the public market could cause our stock price to fall.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offer and sell up to $75.0 million of shares of our common stock from time to time pursuant to the ATM Sales Agreement that we have entered into with Jefferies. As of March 31, 2026, we have not sold any shares of our common stock pursuant to the ATM Sales Agreement. Depending on market liquidity at the time, sales of our common stock pursuant to the ATM Sales Agreement may cause the trading price of our common stock to decline.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37,647,057 shares of our common stock were outstanding. Shares of unvested restricted common stock will become available for sale immediately upon the vesting of such shares, as applicable, and the expiration of any applicable market stand-off or lock-up agreements. Shares issued upon the exercise of stock options pursuant to future awards that may be granted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the future, we may issue additional shares of common stock or other equity or debt securities convertible into common stock in connection with a financing, acquisition, litigation settlement, employee arrangements or otherwise. Any such issuance could result in substantial dilution to our existing stockholders and could cause our stock price to decline.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an “emerging growth company” and a “smaller reporting company,” and the reduced disclosure requirements applicable to emerging growth companies and smaller reporting companies may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(the “JOBS Act”), and may remain an emerging growth company for up to five years. For so long as we remain an emerging growth company, we are permitted and plan to rely on exemptions from certain disclosure requirements that are applicable to other public companies that are not emerging growth companies. These exemptions include not being required to comply with the auditor attestation requirements of SOX Section 404, not being required to comply with any requirement for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is different than the information that is available with respect to other public companies.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a “smaller reporting company,” meaning that the market value of our stock held by non-affiliates is less than $700 million and our annual revenue is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Insiders have substantial influence over us, which could limit your ability to affect the outcome of key transactions, including a change of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directors and executive officers and their affiliates beneficially own a significant amount of our outstanding common stock. As a result, these stockholders, if they act together, will be able to influence our management and affairs and all matters requiring stockholder approval. For example, these stockholders may be able to control elections of directors, amendments of our organizational documents or approval of any merger, sale of assets or other major corporate transaction. This concentration of ownership may have the effect of delaying or preventing a change in control of our company and might affect the market price of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do not expect to pay any dividends for the foreseeable future. Investors may never obtain a return on their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As a result, investors seeking cash dividends should not purchase our common stock.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establish and maintain proper and effective internal control over financial reporting, our operating results and our ability to operate our business could be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Ensuring that we have adequate internal financial and accounting controls and procedures in place so that we can produce accurate financial statements on a timely basis is a costly and time-consuming effort that needs to be re-evaluated frequently. Our internal control over financial reporting is a process designed to provide reasonable assurance regarding the reliability of financial reporting and the preparation of financial statements in accordance with generally accepted accounting principles. Pursuant to SOX Section 404, we are required to provide a management report on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Implementing any appropriate changes to our internal controls may distract our officers and employees, entail substantial costs to modify our existing processes and take significant time to complete. These changes may not, however, be effective in maintaining the adequacy of our internal controls, and any failure to maintain that adequacy or consequent inability to produce accurate financial statements on a timely basis could increase our operating costs and harm our business. In addition, investors’ perceptions that our internal controls are inadequate or that we are unable to produce accurate financial statements on a timely basis cause investors to lose confidence in the accuracy and completeness of our financial reports and could cause the market price of our common stock to decline significantly.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second amended and restated bylaws designate specific courts as the exclusive forum for certain litigation that may be initiated by our stockholders, which could limit stockholders’ ability to obtain a favorable judicial forum for disputes with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our second amended and restated bylaws, unless we consent in writing to the selection of an alternative forum, the Court of Chancery of the State of Delaware is the sole and exclusive forum for any state law claims for (i) any derivative action or proceeding brought on our behalf; (ii) any action asserting a claim of or based on a breach of a fiduciary duty owed by any director, officer or other employee of ours to us or our stockholders; (iii) any action asserting a claim pursuant to any provision of the DGCL, our amended and restated certificate of incorporation, as amended, or our second amended and restated bylaws or as to which the DGCL confers jurisdiction on the Court of Chancery of the State of Delaware; or (iv) any action asserting a claim governed by the internal affairs doctrine (the “Delaware Forum Provision”). The Delaware Forum Provision will not apply to any causes of action arising under the Securities Act or the Exchange Act. Our second amended and restated bylaws further provide that unless we consent in writing to the selection of an alternative forum, the federal district courts of the United States shall be the sole and exclusive forum for resolving any complaint asserting a cause of action arising under the Securities Act, the Exchange Act, the respective rules and regulations promulgated thereunder or the Federal Forum Provision. In addition, our second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recognize that the Delaware Forum Provision and the Federal Forum Provision in our second amended and restated bylaws may impose additional litigation costs on stockholders in pursuing any such claims, particularly if the stockholders do not reside in or near the State of Delaware. Additionally, the forum selection clauses in our second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Provisions in our amended and restated certificate of incorporation, as amended, and second amended and restated bylaws and Delaware law may have anti-takeover effects that could discourage an acquisition of us by others, even if an acquisition would be beneficial to our stockholders, and may prevent attempts by our stockholders to replace or remove our current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certificate of incorporation, as amended, and second amended and restated bylaws and Delaware law contain provisions that may have the effect of discouraging, delaying or preventing a change in control of us or changes in our management that stockholders may consider favorable, including transactions in which you might otherwise receive a premium for your shares. Our amended and restated certificate of incorporation, as amended, and second amended and restated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authorize “blank check” preferred stock, which could be issued by our Board without stockholder approval and may contain voting, liquidation, dividend and other rights superior to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create a classified Board whose members serve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special meetings of our stockholders can be called only by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prohibit stockholder action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 advance notice procedure for stockholder approvals to be brought before an annual meeting of our stockholders, including proposed nominations of persons for election to our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vacancies on our Board may be filled only by a majority of directors then in office, even though less than a quorum;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that our directors may be removed only for cause;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no stockholder is permitted to cumulate votes at any election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expressly authorized our Board to make, alter, amend or repeal our second amended and restated bylaws;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supermajority votes of the holders of our common stock to amend specified provisions of our amended and restated certificate of incorporation, as amended, and second amended and restated bylaws.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alone or together, could delay or prevent hostile takeovers and changes in control or changes in our management. These provisions could also limit the price that investors might be willing to pay in the future for shares of our common stock, thereby depressing the market price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because we are incorporated in the State of Delaware, we are governed by the provisions of Section 203 of the DGCL,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provision of our amended and restated certificate of incorporation, as amended, second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Adverse developments affecting the financial services industry could adversely affect our current and projected business operations and our financial condition </w:t>
      </w:r>
      <w:r>
        <w:rPr>
          <w:rFonts w:ascii="Times New Roman" w:hAnsi="Times New Roman"/>
          <w:b/>
          <w:color w:val="000000"/>
          <w:sz w:val="20"/>
        </w:rPr>
        <w:t>and</w:t>
      </w:r>
      <w:r>
        <w:rPr>
          <w:rFonts w:ascii="Times New Roman" w:hAnsi="Times New Roman"/>
          <w:color w:val="000000"/>
          <w:sz w:val="20"/>
        </w:rPr>
        <w:t xml:space="preserve"> </w:t>
      </w:r>
      <w:r>
        <w:rPr>
          <w:rFonts w:ascii="Times New Roman" w:hAnsi="Times New Roman"/>
          <w:b/>
          <w:i/>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 developments that affect financial institutions, such as events involving liquidity that are rumored or actual, have in the past and may in the future lead to bank failures and market-wide liquidity problems. For example, on March 10, 2023, Silicon Valley Bank (“SVB”) was closed by the California Department of Financial Protection and Innovation, which appointed the Federal Deposit Insurance Corporation (“FDIC”) as receiver. Similarly, on March 12, 2023, Signature Bank was also swept into receivership. The U.S. Department of Treasury, the Federal Reserve Board (the “Federal Reserve”), and the FDIC released a statement that indicated that all depositors of SVB would have access to all of their funds, including funds held in uninsured deposit accounts, after only one business day of closure. The U.S. Department of Treasury, FDIC and Federal Reserve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however, that the U.S. Department of Treasury, FDIC and Federal Reserve will provide access to uninsured funds in the future in the event of the closure of other banks or financial institutions, or that they would do so in a timely fashion.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SVB’s failure, we have diversified our cash deposit holdings between multiple financial institutions, and we have not experienced any adverse impact to our current and projected business operations, financial condition or results of operations as a result of the closure of SVB or any other banks. However, uncertainty remains over liquidity concerns in the broader financial services industry, and our business, our business partners, or industry as a whole may be adversely impacted in ways that we cannot predict at this time. If, for example, other banks and financial institutions enter receivership or become insolvent in the future in response to financial conditions affecting the banking system and financial markets, our ability to access our existing cash, cash equivalents and available-for-sale marketable securities may be threatened.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expect to assess our banking relationships as we believe necessary or appropriate, our access to cash in amounts adequate to finance or capitalize our current and projected future business operations could be significantly impaired by factors that affect the financial institutions with which we have banking relationships, and in turn,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also include factors involving financial markets or the financial services industry generally. 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delayed access to deposits or other financial assets or the uninsured loss of deposits or other financial assets; or termination of cash management arrangements and/or delays in accessing or actual loss of funds subject to cash management arrangements.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widespread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one or more of our critical vendors, third party manufacturers, or other business partners could be adversely affected by any of the liquidity or other risks that are described above, which in turn, could have a material adverse effect on our current and/or projected business operations and results of operations and financial condition. Any business partner bankruptcy or insolvency, or any breach or default by a business partner, or the loss of any significant supplier relationships, could result in material adverse impacts on our current and/or projected business operations and financial condition.</w:t>
      </w:r>
    </w:p>
    <w:p>
      <w:pPr>
        <w:pStyle w:val="TextBody"/>
        <w:bidi w:val="0"/>
        <w:spacing w:before="360" w:after="283"/>
        <w:jc w:val="left"/>
        <w:rPr>
          <w:rFonts w:ascii="Times New Roman" w:hAnsi="Times New Roman"/>
          <w:b/>
          <w:color w:val="000000"/>
          <w:sz w:val="20"/>
        </w:rPr>
      </w:pPr>
      <w:bookmarkStart w:id="15" w:name="item_2_unregistered_sales_of_equity"/>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ther_information"/>
      <w:bookmarkEnd w:id="18"/>
      <w:r>
        <w:rPr>
          <w:rFonts w:ascii="Times New Roman" w:hAnsi="Times New Roman"/>
          <w:b/>
          <w:color w:val="000000"/>
          <w:sz w:val="20"/>
        </w:rPr>
        <w:t>Item 5. Other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have been no material changes to the procedures by which security holders may recommend nominees to the Company’s Board since the Company last provided disclosure in response to the requirements of Item 407(c)(3) of Regulation 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Brian C. Thomas, Ph. D., founder and member of our Board of Directors, entered into a pre-arranged stock trading plan on February 10, 2026. Dr. Thomas’s trading plan provides for the sale of up to 110,000 shares of our common stock between May 1, 2026 (subject to compliance with applicable laws relating to the timing for commencement of sales under Rule 10b5-1) and May 3, 2027, subject to certain minimum price thresholds. This trading plan is intended to satisfy the affirmative defense of Rule 10b5-1(c) under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quarter ended March 31, 2026, no other director or “officer” of the Company, as defined in Rule 16a-1(f) under the Exchange Act, adopted or terminated a “Rule 10b5-1 trading arrangement” or “non-Rule 10b5-1 trading arrangement,” as each term is defined in Item 408(a) of Regulation S-K.</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791"/>
        <w:gridCol w:w="146"/>
        <w:gridCol w:w="5932"/>
        <w:gridCol w:w="146"/>
        <w:gridCol w:w="511"/>
        <w:gridCol w:w="146"/>
        <w:gridCol w:w="796"/>
        <w:gridCol w:w="146"/>
        <w:gridCol w:w="691"/>
        <w:gridCol w:w="146"/>
        <w:gridCol w:w="754"/>
      </w:tblGrid>
      <w:tr>
        <w:trPr/>
        <w:tc>
          <w:tcPr>
            <w:tcW w:w="7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9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9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54" w:type="dxa"/>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gridSpan w:val="11"/>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INDEX</w:t>
            </w:r>
          </w:p>
        </w:tc>
      </w:tr>
      <w:tr>
        <w:trPr/>
        <w:tc>
          <w:tcPr>
            <w:tcW w:w="7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93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90"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By Reference</w:t>
            </w:r>
          </w:p>
        </w:tc>
      </w:tr>
      <w:tr>
        <w:trPr/>
        <w:tc>
          <w:tcPr>
            <w:tcW w:w="7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93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9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5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001-41949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02/13/2024</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Amended and Restated Certificate of Incorporation of the Registrant.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001-41949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01/12/2026</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Second Amended and Restated Bylaws.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001-41949</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01/12/2026</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w:anchor="mgx-ex31_1.htm">
              <w:r>
                <w:rPr>
                  <w:rStyle w:val="InternetLink"/>
                  <w:rFonts w:ascii="Times New Roman" w:hAnsi="Times New Roman"/>
                  <w:color w:val="0000FF"/>
                  <w:sz w:val="20"/>
                  <w:u w:val="single"/>
                </w:rPr>
                <w:t>Certification of Principal Executive Officer pursuant to Rule 13a-14(a) or Rule 15d-14(a) of the Exchange Act,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w:anchor="mgx-ex31_2.htm">
              <w:r>
                <w:rPr>
                  <w:rStyle w:val="InternetLink"/>
                  <w:rFonts w:ascii="Times New Roman" w:hAnsi="Times New Roman"/>
                  <w:color w:val="0000FF"/>
                  <w:sz w:val="20"/>
                  <w:u w:val="single"/>
                </w:rPr>
                <w:t>Certification of Principal Financial Officer pursuant to Rule 13a-14(a) or Rule 15d-14(a) of the Exchange Act,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hyperlink w:anchor="mgx-ex32_1.htm">
              <w:r>
                <w:rPr>
                  <w:rStyle w:val="InternetLink"/>
                  <w:rFonts w:ascii="Times New Roman" w:hAnsi="Times New Roman"/>
                  <w:color w:val="0000FF"/>
                  <w:sz w:val="20"/>
                  <w:u w:val="single"/>
                </w:rPr>
                <w:t>Certifications of Principal Executive Officer and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93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jc w:val="left"/>
        <w:rPr/>
      </w:pPr>
      <w:r>
        <w:rPr/>
        <w:t>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Filed herewith</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Furnished herewith</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 Portions of this exhibit (indicated by asterisks) have been omitted in accordance with the rules of the SEC because the Registrant has determined that information is both not material and is the type that the Registrant treats as private and confidential.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0" w:name="signatures"/>
      <w:bookmarkEnd w:id="20"/>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tbl>
      <w:tblPr>
        <w:tblW w:w="5504" w:type="dxa"/>
        <w:jc w:val="left"/>
        <w:tblInd w:w="0" w:type="dxa"/>
        <w:tblLayout w:type="fixed"/>
        <w:tblCellMar>
          <w:top w:w="28" w:type="dxa"/>
          <w:left w:w="28" w:type="dxa"/>
          <w:bottom w:w="28" w:type="dxa"/>
          <w:right w:w="28" w:type="dxa"/>
        </w:tblCellMar>
      </w:tblPr>
      <w:tblGrid>
        <w:gridCol w:w="1741"/>
        <w:gridCol w:w="146"/>
        <w:gridCol w:w="406"/>
        <w:gridCol w:w="321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Metagenomi Therapeutics,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Jian Irish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Jian Irish, Ph.D., M.B.A.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5774" w:type="dxa"/>
        <w:jc w:val="left"/>
        <w:tblInd w:w="0" w:type="dxa"/>
        <w:tblLayout w:type="fixed"/>
        <w:tblCellMar>
          <w:top w:w="28" w:type="dxa"/>
          <w:left w:w="28" w:type="dxa"/>
          <w:bottom w:w="28" w:type="dxa"/>
          <w:right w:w="28" w:type="dxa"/>
        </w:tblCellMar>
      </w:tblPr>
      <w:tblGrid>
        <w:gridCol w:w="1741"/>
        <w:gridCol w:w="146"/>
        <w:gridCol w:w="406"/>
        <w:gridCol w:w="3481"/>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Pamela Wapnick</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Pamela Wapnick, M.B.A.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(Principal Financial Officer and Principal</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Accounting Officer)</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1" w:name="mgx-ex31_1.htm"/>
      <w:bookmarkStart w:id="22" w:name="ksmgxex31_1"/>
      <w:bookmarkEnd w:id="21"/>
      <w:bookmarkEnd w:id="22"/>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Jian Irish,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Metagenomi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0" w:after="240"/>
        <w:jc w:val="left"/>
        <w:rPr/>
      </w:pPr>
      <w:r>
        <w:rPr/>
        <w:t> </w:t>
      </w:r>
    </w:p>
    <w:tbl>
      <w:tblPr>
        <w:tblW w:w="5587" w:type="dxa"/>
        <w:jc w:val="left"/>
        <w:tblInd w:w="0" w:type="dxa"/>
        <w:tblLayout w:type="fixed"/>
        <w:tblCellMar>
          <w:top w:w="28" w:type="dxa"/>
          <w:left w:w="28" w:type="dxa"/>
          <w:bottom w:w="28" w:type="dxa"/>
          <w:right w:w="28" w:type="dxa"/>
        </w:tblCellMar>
      </w:tblPr>
      <w:tblGrid>
        <w:gridCol w:w="1741"/>
        <w:gridCol w:w="109"/>
        <w:gridCol w:w="406"/>
        <w:gridCol w:w="33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Jian Irish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Jian Irish, Ph.D., M.B.A.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1"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President and Chief Executive Officer</w:t>
            </w:r>
          </w:p>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2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mgx-ex31_2.htm"/>
      <w:bookmarkStart w:id="24" w:name="ksmgxex31_2"/>
      <w:bookmarkEnd w:id="23"/>
      <w:bookmarkEnd w:id="24"/>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Pamela Wapnick,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Metagenomi Therapeutics,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0" w:after="240"/>
        <w:jc w:val="left"/>
        <w:rPr/>
      </w:pPr>
      <w:r>
        <w:rPr/>
        <w:t> </w:t>
      </w:r>
    </w:p>
    <w:tbl>
      <w:tblPr>
        <w:tblW w:w="7672" w:type="dxa"/>
        <w:jc w:val="left"/>
        <w:tblInd w:w="0" w:type="dxa"/>
        <w:tblLayout w:type="fixed"/>
        <w:tblCellMar>
          <w:top w:w="28" w:type="dxa"/>
          <w:left w:w="28" w:type="dxa"/>
          <w:bottom w:w="28" w:type="dxa"/>
          <w:right w:w="28" w:type="dxa"/>
        </w:tblCellMar>
      </w:tblPr>
      <w:tblGrid>
        <w:gridCol w:w="1741"/>
        <w:gridCol w:w="109"/>
        <w:gridCol w:w="406"/>
        <w:gridCol w:w="541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Pamela Wapnick</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Pamela Wapnick, M.B.A.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mgx-ex32_1.htm"/>
      <w:bookmarkStart w:id="26" w:name="ksmgxex32_1"/>
      <w:bookmarkEnd w:id="25"/>
      <w:bookmarkEnd w:id="26"/>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Metagenomi Therapeutics, Inc. (the “Company”) on Form 10-Q for the period ending March 31, 2026, as filed with the Securities and Exchange Commission on the date hereof (the “Report”), the undersigned officers of the Company hereby certify, pursuant to 18 U.S.C. § 1350, as adopted pursuant to §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0" w:after="240"/>
        <w:jc w:val="left"/>
        <w:rPr/>
      </w:pPr>
      <w:r>
        <w:rPr/>
        <w:t> </w:t>
      </w:r>
    </w:p>
    <w:tbl>
      <w:tblPr>
        <w:tblW w:w="5632" w:type="dxa"/>
        <w:jc w:val="left"/>
        <w:tblInd w:w="0" w:type="dxa"/>
        <w:tblLayout w:type="fixed"/>
        <w:tblCellMar>
          <w:top w:w="28" w:type="dxa"/>
          <w:left w:w="28" w:type="dxa"/>
          <w:bottom w:w="28" w:type="dxa"/>
          <w:right w:w="28" w:type="dxa"/>
        </w:tblCellMar>
      </w:tblPr>
      <w:tblGrid>
        <w:gridCol w:w="1741"/>
        <w:gridCol w:w="109"/>
        <w:gridCol w:w="406"/>
        <w:gridCol w:w="337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3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Jian Irish</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Jian Irish, Ph.D., M.B.A.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sz w:val="20"/>
              </w:rPr>
            </w:pPr>
            <w:r>
              <w:rPr>
                <w:rFonts w:ascii="Times New Roman" w:hAnsi="Times New Roman"/>
                <w:b/>
                <w:color w:val="000000"/>
                <w:sz w:val="20"/>
              </w:rPr>
              <w:t>President and Chief Executive Officer</w:t>
            </w:r>
            <w:r>
              <w:rPr>
                <w:rFonts w:ascii="Times New Roman" w:hAnsi="Times New Roman"/>
                <w:color w:val="000000"/>
                <w:sz w:val="20"/>
              </w:rPr>
              <w:t xml:space="preserve"> </w:t>
            </w:r>
          </w:p>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spacing w:before="0" w:after="240"/>
        <w:jc w:val="left"/>
        <w:rPr/>
      </w:pPr>
      <w:r>
        <w:rPr/>
        <w:t> </w:t>
      </w:r>
    </w:p>
    <w:tbl>
      <w:tblPr>
        <w:tblW w:w="7672" w:type="dxa"/>
        <w:jc w:val="left"/>
        <w:tblInd w:w="0" w:type="dxa"/>
        <w:tblLayout w:type="fixed"/>
        <w:tblCellMar>
          <w:top w:w="28" w:type="dxa"/>
          <w:left w:w="28" w:type="dxa"/>
          <w:bottom w:w="28" w:type="dxa"/>
          <w:right w:w="28" w:type="dxa"/>
        </w:tblCellMar>
      </w:tblPr>
      <w:tblGrid>
        <w:gridCol w:w="1741"/>
        <w:gridCol w:w="109"/>
        <w:gridCol w:w="406"/>
        <w:gridCol w:w="541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41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11,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4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Pamela Wapnick</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Pamela Wapnick, M.B.A.</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6" w:type="dxa"/>
            <w:tcBorders/>
            <w:shd w:fill="FFFFFF" w:val="clear"/>
            <w:tcMar>
              <w:top w:w="0" w:type="dxa"/>
              <w:left w:w="0" w:type="dxa"/>
              <w:bottom w:w="0" w:type="dxa"/>
              <w:right w:w="0" w:type="dxa"/>
            </w:tcMar>
            <w:vAlign w:val="center"/>
          </w:tcPr>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15" w:after="283"/>
              <w:jc w:val="center"/>
              <w:rPr>
                <w:rFonts w:ascii="Times New Roman" w:hAnsi="Times New Roman"/>
                <w:b/>
                <w:color w:val="000000"/>
                <w:sz w:val="20"/>
              </w:rPr>
            </w:pPr>
            <w:r>
              <w:rPr>
                <w:rFonts w:ascii="Times New Roman" w:hAnsi="Times New Roman"/>
                <w:b/>
                <w:color w:val="000000"/>
                <w:sz w:val="20"/>
              </w:rPr>
              <w:t>(Principal Financial Officer and Principal Accounting Officer)</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5279/000119312524033697/d770467dex31.htm" TargetMode="External"/><Relationship Id="rId3" Type="http://schemas.openxmlformats.org/officeDocument/2006/relationships/hyperlink" Target="https://www.sec.gov/Archives/edgar/data/1785279/000119312526009928/mgx-ex3_1.htm" TargetMode="External"/><Relationship Id="rId4" Type="http://schemas.openxmlformats.org/officeDocument/2006/relationships/hyperlink" Target="https://www.sec.gov/Archives/edgar/data/1785279/000119312526009928/mgx-ex3_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70168</Words>
  <Characters>394531</Characters>
  <CharactersWithSpaces>464179</CharactersWithSpaces>
  <Paragraphs>4544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