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Thomas Brian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METAGENOMI,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5959 HORTON STREET, 7TH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Metagenomi,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94608</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04/01/2025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32,000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2,528,276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04/01/2025</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03/31/2035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196,000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196,000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25% of the RSUs shall vest on June 5, 2026, with the remainder vesting in 12 equal quarterly installments thereafter, subject to the Reporting Person's continued service with the Issuer on each such vesting date.</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this option shall vest and become exercisable on April 1, 2026, with the remainder vesting in 36 equal monthly installments thereafter, subject to the Reporting Person's continued service with the Issuer on each such vesting date.</w:t>
      </w:r>
    </w:p>
    <w:p>
      <w:pPr>
        <w:spacing w:after="0" w:line="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Matthew L. Wein, attorney-</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04/03/2025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6097"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2025-04-03T11:02:41Z</dcterms:created>
  <dcterms:modified xsi:type="dcterms:W3CDTF">2025-04-03T11:02:41Z</dcterms:modified>
</cp:coreProperties>
</file>