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gx-20250331.htm"/>
      <w:bookmarkStart w:id="1" w:name="ksmgx20250331"/>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001-41949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Metagenomi,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872" w:type="dxa"/>
        <w:jc w:val="left"/>
        <w:tblInd w:w="0" w:type="dxa"/>
        <w:tblLayout w:type="fixed"/>
        <w:tblCellMar>
          <w:top w:w="28" w:type="dxa"/>
          <w:left w:w="28" w:type="dxa"/>
          <w:bottom w:w="28" w:type="dxa"/>
          <w:right w:w="28" w:type="dxa"/>
        </w:tblCellMar>
      </w:tblPr>
      <w:tblGrid>
        <w:gridCol w:w="2626"/>
        <w:gridCol w:w="1246"/>
      </w:tblGrid>
      <w:tr>
        <w:trPr/>
        <w:tc>
          <w:tcPr>
            <w:tcW w:w="26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81-3909017</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5959 Horton Street, 7th Floor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Emeryville,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(510) 871-4880</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90" w:type="dxa"/>
        <w:jc w:val="left"/>
        <w:tblInd w:w="0" w:type="dxa"/>
        <w:tblLayout w:type="fixed"/>
        <w:tblCellMar>
          <w:top w:w="28" w:type="dxa"/>
          <w:left w:w="28" w:type="dxa"/>
          <w:bottom w:w="28" w:type="dxa"/>
          <w:right w:w="28" w:type="dxa"/>
        </w:tblCellMar>
      </w:tblPr>
      <w:tblGrid>
        <w:gridCol w:w="3256"/>
        <w:gridCol w:w="146"/>
        <w:gridCol w:w="826"/>
        <w:gridCol w:w="146"/>
        <w:gridCol w:w="3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MGX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Emerging growth company</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May 7, 2025, the registrant had 37,381,495</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018" w:type="dxa"/>
        <w:jc w:val="left"/>
        <w:tblInd w:w="0" w:type="dxa"/>
        <w:tblLayout w:type="fixed"/>
        <w:tblCellMar>
          <w:top w:w="28" w:type="dxa"/>
          <w:left w:w="28" w:type="dxa"/>
          <w:bottom w:w="28" w:type="dxa"/>
          <w:right w:w="28" w:type="dxa"/>
        </w:tblCellMar>
      </w:tblPr>
      <w:tblGrid>
        <w:gridCol w:w="886"/>
        <w:gridCol w:w="7621"/>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6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Times New Roman" w:hAnsi="Times New Roman"/>
                  <w:color w:val="0000FF"/>
                  <w:sz w:val="20"/>
                  <w:u w:val="single"/>
                </w:rPr>
                <w:t>Condensed Statements of Redeemable Convertible Preferred Stock and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8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express or implied forward-looking statements that are based on our management’s belief and assumptions and on information currently available to our management and which are made pursuant to the safe harbor provisions of Section 27A of the Securities Act of 1933, as amended (the “Securities Act”), and Section 21E of the Securities Exchange Act of 1934, as amended (the “Exchange Act”).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and results of our research and development programs, preclinical studies and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ability to demonstrate, and the timing of, preclinical proof-of-concept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ex vivo</w:t>
      </w:r>
      <w:r>
        <w:rPr>
          <w:color w:val="000000"/>
        </w:rPr>
        <w:t xml:space="preserve"> </w:t>
      </w:r>
      <w:r>
        <w:rPr>
          <w:rFonts w:ascii="Times New Roman" w:hAnsi="Times New Roman"/>
          <w:color w:val="000000"/>
          <w:sz w:val="20"/>
        </w:rPr>
        <w:t>for multiple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any product candidates that we may identify and successfully complete any clinical studies, including the manufacture of any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quickly leverage programs within our initial target indications and to progress additional programs to further develop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Investigational New Drug (“IND”) applications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programs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genome editing technology and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leverage the clinical, regulatory, and manufacturing advancements made by genome editing programs to accelerate our clinical trials and approval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license agreements and collaborations and identify and enter into future license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our genome editing technology and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and retain key scientific and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capital markets and other adverse macroeconomic factors, including due to inflationary pressures, tariffs and other trade protection measures that have been or may in the future be imposed by the United States (the “U.S.”) or other countries, interest rate and currency rate fluctuations, economic slowdown or recession, banking instability, monetary policy changes, geopolitical tensions or the outbreak of hostilities or war, including from the ongoing Russia-Ukraine conflict, the current conflict in Israel and Gaza (including any escalation or expansion) and increasing tensions between China and Taiwan;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our expenses, capital requirements, and needs for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and are subject to change. You should not place undue reliance on forward-looking statements because they involve known and unknown risks, uncertainties, and other factors, which are, in some cases, beyond our control and which could materially affect results. Moreover, we operate in an evolving environment. New risk factors and uncertainties may emerge from time to time, and it is not possible for management to predict all risk factors and uncertainties.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 as exhibits to this Quarterly Report on Form 10-Q completely and with the understanding that our actual future results may be materially different from any future results expressed or implied by these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also contains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entitled “Risk Factors” and elsewhere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use our website to distribute material information about us and for complying with our disclosure obligations under Regulation FD. Our financial and other material information is routinely posted to and accessible on the Investor Relations section of our website, available at https://ir.metagenomi.co/. Investors are encouraged to review the Investor Relations section of our website because we may post material information on that site that is not otherwise disseminated by us. Information that is contained in and can be accessed through our website are not incorporated into, and does not form a part of, this Quarterly Report on Form 10-Q.</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Trademarks and Service Marks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references to our trademarks and service marks and to those belonging to other entities. Solely for convenience, trademarks and trade names referred to in this Quarterly Report on Form 10-Q,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Market, Industry and Other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information contained in this Quarterly Report on Form 10-Q concerning our industry and the markets in which we operate, including our general expectations about our product candidates, market position, market opportunity, market size, competitive position and the incidence of certain medical conditions, is based on or derived from publicly available information released by industry analysts and third-party sources, independent market research, industry and general publications and surveys, governmental agencies, our internal research and our industry experience. Our estimates of the potential market opportunities for our product candidates include a number of key assumptions based on our industry knowledge and industry publications, the latter of which may be based on small sample sizes and fail to accurately reflect such information, and you are cautioned not to give undue weight to such estimates. While we believe that our internal assumptions are reasonable, no independent source has verified such assumptions. Industry publications and third-party research often indicate that their information has been obtained from sources believed to be reliable, although they do not guarantee the accuracy or completeness of such information and such information is inherently imprecise.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projections, assumptions and estimates of our future performance and the future performance of the industry in which we operate is necessarily subject to a high degree of uncertainty and risk due to a variety of factors, including those described in Part II, Item 1A of this Quarterly Report on Form 10-Q titled “Risk Factors” and elsewhere in this Quarterly Report on Form 10-Q. These and other factors could cause results to differ materially from those expressed in the estimates made by independent third parties and by us.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Metagenomi, Inc.</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In thousands, except share and per share data</w:t>
      </w:r>
      <w:r>
        <w:rPr>
          <w:rFonts w:ascii="Times New Roman" w:hAnsi="Times New Roman"/>
          <w:b/>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5"/>
        <w:gridCol w:w="146"/>
        <w:gridCol w:w="211"/>
        <w:gridCol w:w="841"/>
        <w:gridCol w:w="166"/>
        <w:gridCol w:w="146"/>
        <w:gridCol w:w="214"/>
        <w:gridCol w:w="854"/>
        <w:gridCol w:w="612"/>
      </w:tblGrid>
      <w:tr>
        <w:trPr/>
        <w:tc>
          <w:tcPr>
            <w:tcW w:w="7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220,921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8,396</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257,960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324,599</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37,309</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89,742</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and zero 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500,000,000 shares authorized; 37,382,478 and 37,418,470 shares issued and outstanding as of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457,146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(223,002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234,857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324,599</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Metagenomi, Inc.</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In thousands, except share and per share data</w:t>
      </w:r>
      <w:r>
        <w:rPr>
          <w:rFonts w:ascii="Times New Roman" w:hAnsi="Times New Roman"/>
          <w:b/>
          <w:color w:val="000000"/>
          <w:sz w:val="20"/>
        </w:rPr>
        <w:t>)</w:t>
      </w:r>
    </w:p>
    <w:p>
      <w:pPr>
        <w:pStyle w:val="TextBody"/>
        <w:bidi w:val="0"/>
        <w:jc w:val="left"/>
        <w:rPr/>
      </w:pPr>
      <w:r>
        <w:rPr/>
        <w:t> </w:t>
      </w:r>
    </w:p>
    <w:tbl>
      <w:tblPr>
        <w:tblW w:w="9609" w:type="dxa"/>
        <w:jc w:val="left"/>
        <w:tblInd w:w="0" w:type="dxa"/>
        <w:tblLayout w:type="fixed"/>
        <w:tblCellMar>
          <w:top w:w="28" w:type="dxa"/>
          <w:left w:w="28" w:type="dxa"/>
          <w:bottom w:w="28" w:type="dxa"/>
          <w:right w:w="28" w:type="dxa"/>
        </w:tblCellMar>
      </w:tblPr>
      <w:tblGrid>
        <w:gridCol w:w="6046"/>
        <w:gridCol w:w="146"/>
        <w:gridCol w:w="211"/>
        <w:gridCol w:w="1036"/>
        <w:gridCol w:w="166"/>
        <w:gridCol w:w="146"/>
        <w:gridCol w:w="211"/>
        <w:gridCol w:w="1036"/>
        <w:gridCol w:w="61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37,019,027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21,137,868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Metagenomi, Inc.</w:t>
      </w:r>
    </w:p>
    <w:p>
      <w:pPr>
        <w:pStyle w:val="TextBody"/>
        <w:bidi w:val="0"/>
        <w:jc w:val="center"/>
        <w:rPr>
          <w:rFonts w:ascii="Times New Roman" w:hAnsi="Times New Roman"/>
          <w:b/>
          <w:color w:val="000000"/>
          <w:sz w:val="20"/>
        </w:rPr>
      </w:pPr>
      <w:bookmarkStart w:id="6" w:name="condensed_consolidated_statements_equity"/>
      <w:bookmarkEnd w:id="6"/>
      <w:r>
        <w:rPr>
          <w:rFonts w:ascii="Times New Roman" w:hAnsi="Times New Roman"/>
          <w:b/>
          <w:color w:val="000000"/>
          <w:sz w:val="20"/>
        </w:rPr>
        <w:t>Condensed Statements of Redeemable Convertible Preferred Stock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In thousands, except share data</w:t>
      </w:r>
      <w:r>
        <w:rPr>
          <w:rFonts w:ascii="Times New Roman" w:hAnsi="Times New Roman"/>
          <w:b/>
          <w:color w:val="000000"/>
          <w:sz w:val="20"/>
        </w:rPr>
        <w:t>)</w:t>
      </w:r>
    </w:p>
    <w:p>
      <w:pPr>
        <w:pStyle w:val="TextBody"/>
        <w:bidi w:val="0"/>
        <w:jc w:val="center"/>
        <w:rPr/>
      </w:pPr>
      <w:r>
        <w:rPr/>
        <w:t> </w:t>
      </w:r>
    </w:p>
    <w:tbl>
      <w:tblPr>
        <w:tblW w:w="11860" w:type="dxa"/>
        <w:jc w:val="left"/>
        <w:tblInd w:w="0" w:type="dxa"/>
        <w:tblLayout w:type="fixed"/>
        <w:tblCellMar>
          <w:top w:w="28" w:type="dxa"/>
          <w:left w:w="28" w:type="dxa"/>
          <w:bottom w:w="28" w:type="dxa"/>
          <w:right w:w="28" w:type="dxa"/>
        </w:tblCellMar>
      </w:tblPr>
      <w:tblGrid>
        <w:gridCol w:w="1201"/>
        <w:gridCol w:w="146"/>
        <w:gridCol w:w="146"/>
        <w:gridCol w:w="976"/>
        <w:gridCol w:w="166"/>
        <w:gridCol w:w="146"/>
        <w:gridCol w:w="196"/>
        <w:gridCol w:w="751"/>
        <w:gridCol w:w="166"/>
        <w:gridCol w:w="146"/>
        <w:gridCol w:w="146"/>
        <w:gridCol w:w="146"/>
        <w:gridCol w:w="916"/>
        <w:gridCol w:w="166"/>
        <w:gridCol w:w="146"/>
        <w:gridCol w:w="249"/>
        <w:gridCol w:w="442"/>
        <w:gridCol w:w="146"/>
        <w:gridCol w:w="146"/>
        <w:gridCol w:w="196"/>
        <w:gridCol w:w="691"/>
        <w:gridCol w:w="146"/>
        <w:gridCol w:w="146"/>
        <w:gridCol w:w="377"/>
        <w:gridCol w:w="839"/>
        <w:gridCol w:w="166"/>
        <w:gridCol w:w="146"/>
        <w:gridCol w:w="217"/>
        <w:gridCol w:w="834"/>
        <w:gridCol w:w="166"/>
        <w:gridCol w:w="146"/>
        <w:gridCol w:w="214"/>
        <w:gridCol w:w="822"/>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b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37,418,470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234,857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Forfeiture of unvested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37,382,478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212,658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41,813,375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and restricted common stock in exchange for profits interests upon Reorganization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3,884,740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redeemable convertible preferred stock to common stock upon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(41,813,375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23,935,594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350,758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in connection with initial public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Forfeiture of unvested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37,468,078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Metagenomi, Inc.</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In thousands</w:t>
      </w:r>
      <w:r>
        <w:rPr>
          <w:rFonts w:ascii="Times New Roman" w:hAnsi="Times New Roman"/>
          <w:b/>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09"/>
        <w:gridCol w:w="146"/>
        <w:gridCol w:w="215"/>
        <w:gridCol w:w="751"/>
        <w:gridCol w:w="169"/>
        <w:gridCol w:w="148"/>
        <w:gridCol w:w="215"/>
        <w:gridCol w:w="858"/>
        <w:gridCol w:w="594"/>
      </w:tblGrid>
      <w:tr>
        <w:trPr/>
        <w:tc>
          <w:tcPr>
            <w:tcW w:w="7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(25,039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(25,148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2,928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5,057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Loss on fixed assets write-off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(accretion) of premiums and discounts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non-cash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3,159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 and collaboration advance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(3,049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(10,360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(22,842</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(29,850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(22,287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(174,663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Maturities of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47,303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80,846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24,728</w:t>
            </w:r>
          </w:p>
        </w:tc>
        <w:tc>
          <w:tcPr>
            <w:tcW w:w="1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(94,732</w:t>
            </w:r>
          </w:p>
        </w:tc>
        <w:tc>
          <w:tcPr>
            <w:tcW w:w="5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issuance of common stock upon initial public offering, net of underwriting discounts and commissions and other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86,537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86,537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(38,045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32,634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145,851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34,443</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107,806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non-cash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Conversion of redeemable convertible preferred stock to common stock upon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350,758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and restricted common stock in exchange for profits interests upon Reorganization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9,457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initial public offering costs included in accounts payable,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Reclassification of deferred offering costs paid in prior year to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3,283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 included in accounts payable,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finance issuance costs included in accounts payable,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Reconciliation of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29,195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102,558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34,443</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107,806</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Metagenomi, Inc.</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Description of Business, Organization and Liquidity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Organization and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Metagenomi, Inc. (“Metagenomi” or the “Company”) is a precision genetic medicines company committed to developing curative therapeutics for patients using our proprietary, comprehensive metagenomics-derived genome editing toolbox. The Company was originally founded as Metagenomi.co, a Delaware corporation, in September 2016. On January 24, 2024, the Company completed a series of transactions, which are referred to collectively as the Reorganization. As a result of the Reorganization, Metagenomi Technologies, LLC (“Metagenomi LLC”) merged with and into its wholly-owned subsidiary, Metagenomi, Inc., a Delaware corporation, with Metagenomi, Inc. continuing as the surviving corporation. The Company is headquartered in Emeryville, California.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Reorganization and Reverse Stock Split</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On January 24, 2024, the Company completed a series of transactions pursuant to which Metagenomi LLC merged with and into Metagenomi, Inc., with Metagenomi, Inc. continuing as the surviving corporation (the “Reorganization”). In connection with the Reorganization, (i) all of the outstanding common unitholders received shares of common stock of Metagenomi, Inc., (ii) all of the outstanding preferred unitholders received shares of redeemable convertible preferred stock of Metagenomi, Inc. with the same rights and privileges and (iii) certain holders of profits interest units received shares of common stock and unvested restricted common stock in Metagenomi, Inc. as determined by the applicable provisions of the Amended and Restated Limited Liability Company Agreement dated December 20, 2022, as amended on July 31, 2023 (the “LLC Agreement”) in effect immediately prior to the Reorganization. </w:t>
      </w:r>
      <w:r>
        <w:rPr>
          <w:rFonts w:ascii="Times New Roman" w:hAnsi="Times New Roman"/>
          <w:color w:val="000000"/>
          <w:sz w:val="20"/>
        </w:rPr>
        <w:t xml:space="preserve">In connection with the Reorganization, by operation of law, Metagenomi, Inc. acquired all assets of Metagenomi LLC, and assumed all of its liabilities and obligations. The Reorganization was a non-taxable transaction to Metagenomi, Inc. for United States (“U.S.”) income tax purposes. </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On January 26, 2024, following the Reorganization, Metagenomi, Inc. effected a reverse stock split </w:t>
      </w:r>
      <w:r>
        <w:rPr>
          <w:rFonts w:ascii="Times New Roman" w:hAnsi="Times New Roman"/>
          <w:color w:val="000000"/>
          <w:sz w:val="20"/>
        </w:rPr>
        <w:t>of the shares of common stock at a ratio of 1-for-1.74692 (the “Reverse Stock Split”). The number of authorized shares and par value per share were not adjusted as a result of the Reverse Stock Split. The Reorganization and the Reverse Stock Split was accounted for as a reorganization of entities under common control. All redeemable convertible preferred stock, common stock, additional paid-in-capital and per share amounts for all periods presented in the accompanying condensed financial statements and notes thereto have been adjusted retroactively, where applicable, to reflect this Reorganization and Reverse Stock Split.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connection with the Reorganization and also effecting the reverse stock split:</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000000"/>
          <w:sz w:val="20"/>
        </w:rPr>
        <w:t>holders of Metagenomi LLC’s outstanding Series A-1 redeemable convertible preferred units (“Series A-1 preferred units”) received one share of Series A-1 redeemable convertible preferred stock (“Series A-1 preferred stock”) of Metagenomi, Inc. for each Series A-1 preferred unit, with an aggregate of 7,501,002</w:t>
      </w:r>
      <w:r>
        <w:rPr>
          <w:color w:val="000000"/>
        </w:rPr>
        <w:t xml:space="preserve"> </w:t>
      </w:r>
      <w:r>
        <w:rPr>
          <w:rFonts w:ascii="Times New Roman" w:hAnsi="Times New Roman"/>
          <w:color w:val="000000"/>
          <w:sz w:val="20"/>
        </w:rPr>
        <w:t>shares of Series A-1 preferred stock outstanding, and after giving effect to the reverse stock split, such shares of Series A-1 preferred stock shall become convertible into an aggregate of 4,293,867</w:t>
      </w:r>
      <w:r>
        <w:rPr>
          <w:color w:val="000000"/>
        </w:rPr>
        <w:t xml:space="preserve"> </w:t>
      </w:r>
      <w:r>
        <w:rPr>
          <w:rFonts w:ascii="Times New Roman" w:hAnsi="Times New Roman"/>
          <w:color w:val="000000"/>
          <w:sz w:val="20"/>
        </w:rPr>
        <w:t>shares of common stock;</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000000"/>
          <w:sz w:val="20"/>
        </w:rPr>
        <w:t>holders of Metagenomi LLC’s outstanding Series A-2 redeemable convertible preferred units (“Series A-2 preferred units”) received one share of Series A-2 redeemable convertible preferred stock (“Series A-2 preferred stock”) of Metagenomi, Inc. for each Series A-2 preferred unit, with an aggregate of 774,473</w:t>
      </w:r>
      <w:r>
        <w:rPr>
          <w:color w:val="000000"/>
        </w:rPr>
        <w:t xml:space="preserve"> </w:t>
      </w:r>
      <w:r>
        <w:rPr>
          <w:rFonts w:ascii="Times New Roman" w:hAnsi="Times New Roman"/>
          <w:color w:val="000000"/>
          <w:sz w:val="20"/>
        </w:rPr>
        <w:t>shares of Series A-2 preferred stock outstanding, and after giving effect to the reverse stock split, such shares of Series A-2 preferred stock shall become convertible into an aggregate of 443,338</w:t>
      </w:r>
      <w:r>
        <w:rPr>
          <w:color w:val="000000"/>
        </w:rPr>
        <w:t xml:space="preserve"> </w:t>
      </w:r>
      <w:r>
        <w:rPr>
          <w:rFonts w:ascii="Times New Roman" w:hAnsi="Times New Roman"/>
          <w:color w:val="000000"/>
          <w:sz w:val="20"/>
        </w:rPr>
        <w:t>shares of common stock;</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000000"/>
          <w:sz w:val="20"/>
        </w:rPr>
        <w:t>holders of Metagenomi LLC’s outstanding Series A-3 redeemable convertible preferred units (“Series A-3 preferred units”) received one share of Series A-3 redeemable convertible preferred stock (“Series A-3 preferred stock”) of Metagenomi, Inc. for each Series A-3 preferred unit, with an aggregate of 1,513,860</w:t>
      </w:r>
      <w:r>
        <w:rPr>
          <w:color w:val="000000"/>
        </w:rPr>
        <w:t xml:space="preserve"> </w:t>
      </w:r>
      <w:r>
        <w:rPr>
          <w:rFonts w:ascii="Times New Roman" w:hAnsi="Times New Roman"/>
          <w:color w:val="000000"/>
          <w:sz w:val="20"/>
        </w:rPr>
        <w:t>shares of Series A-3 preferred stock outstanding, and after giving effect to the reverse stock split, such shares of Series A-3 preferred stock shall become convertible into an aggregate of 866,589</w:t>
      </w:r>
      <w:r>
        <w:rPr>
          <w:color w:val="000000"/>
        </w:rPr>
        <w:t xml:space="preserve"> </w:t>
      </w:r>
      <w:r>
        <w:rPr>
          <w:rFonts w:ascii="Times New Roman" w:hAnsi="Times New Roman"/>
          <w:color w:val="000000"/>
          <w:sz w:val="20"/>
        </w:rPr>
        <w:t>shares of common stock;</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000000"/>
          <w:sz w:val="20"/>
        </w:rPr>
        <w:t>holders of Metagenomi LLC’s outstanding Series A-4 redeemable convertible preferred units (“Series A-4 preferred units”) received one share of Series A-4 redeemable convertible preferred stock (“Series A-4 preferred stock”) of Metagenomi, Inc. for each Series A-4 preferred unit, with an aggregate of 8,280,360</w:t>
      </w:r>
      <w:r>
        <w:rPr>
          <w:color w:val="000000"/>
        </w:rPr>
        <w:t xml:space="preserve"> </w:t>
      </w:r>
      <w:r>
        <w:rPr>
          <w:rFonts w:ascii="Times New Roman" w:hAnsi="Times New Roman"/>
          <w:color w:val="000000"/>
          <w:sz w:val="20"/>
        </w:rPr>
        <w:t>shares of Series A-4 preferred stock outstanding, and after giving effect to the reverse stock split, such shares of Series A-4 preferred stock shall become convertible into an aggregate of 4,740,000</w:t>
      </w:r>
      <w:r>
        <w:rPr>
          <w:color w:val="000000"/>
        </w:rPr>
        <w:t xml:space="preserve"> </w:t>
      </w:r>
      <w:r>
        <w:rPr>
          <w:rFonts w:ascii="Times New Roman" w:hAnsi="Times New Roman"/>
          <w:color w:val="000000"/>
          <w:sz w:val="20"/>
        </w:rPr>
        <w:t>shares of common stock;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Metagenomi LLC’s outstanding Series A-5 redeemable convertible preferred units (“Series A-5 preferred units”) received one share of Series A-5 redeemable convertible preferred stock (“Series A-5 preferred stock”) of Metagenomi, Inc. for each Series A-5 preferred unit, with an aggregate of 1,580,937 shares of Series A-5 preferred stock outstanding, and after giving effect to the reverse stock split, such shares of Series A-5 preferred stock shall become convertible into an aggregate of 904,990 shares of common stock;</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Metagenomi LLC’s outstanding Series B redeemable convertible preferred units (“Series B preferred units”) received one share of Series B redeemable convertible preferred stock (“Series B preferred stock”) of Metagenomi, Inc. for each Series B preferred unit, with an aggregate of 15,054,263 shares of Series B preferred stock outstanding, and after giving effect to the reverse stock split, such shares of Series B preferred stock shall become convertible into an aggregate of 8,617,649 shares of common stock;</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Metagenomi LLC’s outstanding Series B-1 redeemable convertible preferred units (“Series B-1 preferred units”) received one share of Series B-1 redeemable convertible preferred stock (“Series B-1 preferred stock”) of Metagenomi, Inc. for each Series B-1 preferred unit, with an aggregate of 7,108,480 shares of Series B-1 preferred stock outstanding, and after giving effect to the reverse stock split, such shares of Series B-1 preferred stock shall become convertible into an aggregate of 4,069,161 shares of common stock;</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Metagenomi LLC’s outstanding common units received one share of common stock of Metagenomi, Inc. for each common unit, with an aggregate of 3,404,585 shares of common stock outstanding, after giving effect to the reverse stock split;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Metagenomi LLC’s outstanding profits interests received 0 - 0.997816 shares of common stock in accordance with the Metagenomi LLC operating agreement for each profits interest, with an aggregate of 3,884,740 shares of common stock outstanding (which includes 1,036,833 shares of unvested restricted common stock), after giving effect to the reverse stock split. Vesting terms of outstanding profits interests did not change.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Immediately prior to the IPO closing, each share of Metagenomi, Inc.’s redeemable convertible preferred stock then outstanding converted into shares of common stock at a conversion ratio of 1.74692, based on the formula set forth in Metagenomi, Inc.’s amended and restated certificate of incorporation in effect immediately prior to the closing of the IPO and giving effect to the reverse stock split. </w:t>
      </w:r>
      <w:r>
        <w:rPr>
          <w:rFonts w:ascii="Times New Roman" w:hAnsi="Times New Roman"/>
          <w:color w:val="231F20"/>
          <w:sz w:val="20"/>
        </w:rPr>
        <w:t>In connection with the closing of the IPO, Metagenomi, Inc. increased the authorized number of shares of common stock to 500,000,000 shares, $0.0001 par value per share, and 10,000,000 shares of preferred stock, $0.0001 par value per share.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Liquidity and Going Concern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has incurred significant losses from operations since its inception. As of March 31, 2025, the Company had an accumulated deficit of $248.0 million. The Company has historically financed its operations primarily through issuance of redeemable convertible preferred stock, convertible promissory notes, its collaboration agreements, and sales of its common stock. In February 2024, the Company completed its IPO for aggregate net proceeds of approximately $80.7 million, after deducting underwriting discounts and commissions and other offering costs totaling approximately $13.0 million. The Company expects to continue to incur substantial losses,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 There can be no assurance that the Company will be successful in acquiring additional capital at levels sufficient to fund its operations or on terms acceptable to the Company or at all. Management believes that existing cash, cash equivalents and available-for-sale marketable securities as of March 31, 2025, of $226.0 million will be sufficient to fund its current operating plan for at least the next 12 months from the date of issuance of these unaudited condensed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described in Note 2, “Summary of Significant Accounting Policies” to the financial statements included in the Annual Report for the year ended December 31, 2024. There have been no material changes to these policies during the three months ended March 31,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These condensed financial statements have been prepared in accordance with accounting principles generally accepted in the United States of America (“U.S. GAAP”) for interim financial information and pursuant to Form 10-Q and Article 10 of Regulation S-X of the Securities and Exchanges Commission (“SEC”). Accordingly, these financial statements do not include all of the information and footnotes required by U.S. GAAP for complete financial statements. In the opinion of management, these financial statements include all adjustments (consisting only of normal recurring adjustments) considered necessary for a fair statement of the Company’s condensed financial statements for the periods presented. </w:t>
      </w:r>
      <w:r>
        <w:rPr>
          <w:rFonts w:ascii="Times New Roman" w:hAnsi="Times New Roman"/>
          <w:color w:val="000000"/>
          <w:sz w:val="20"/>
        </w:rPr>
        <w:t xml:space="preserve">These interim financial results are not necessarily indicative of results to be expected for the full fiscal year ending December 31, 2025, or any other future period. Readers should read these interim unaudited condensed financial statements in conjunction with the audited financial statements and the related notes thereto for the year ended December 31, 2024, included in the Company’s Annual Report on Form 10-K filed with the SEC. </w:t>
      </w:r>
      <w:r>
        <w:rPr>
          <w:rFonts w:ascii="Times New Roman" w:hAnsi="Times New Roman"/>
          <w:color w:val="231F20"/>
          <w:sz w:val="20"/>
        </w:rPr>
        <w:t>Any reference in these notes to applicable guidance is meant to refer to the authoritative GAAP as found in the Accounting Standards Codification (“ASC”) and Accounting Standards Updates (“ASU”) of the Financial Accounting Standards Board (“FASB”).</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expenses during the reporting period. On an ongoing basis, the Company evaluates estimates and assumptions, including but not limited to those related to revenue recognition under its collaboration agreements, the fair value of its common stock, stock-based compensation expense, accruals for research and development expenses, the fair value of long-term investments, the valuation of deferred tax assets and uncertain income tax positions.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Recently Issued Accounting Pronouncements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December 2023, the FASB issued ASU 2023-09, Income Taxes (Topic 740): Improvements to Income Tax Disclosures. This ASU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the adoption of this standard on its financial statements.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November 2024, the FASB issued ASU 2024-03, Income Statement - Reporting Comprehensive Income - Expense Disaggregation Disclosures (Subtopic 220-40): Disaggregation of Income Statement Expenses. This ASU requires, among other things, more detailed disclosures about specified categories of expense (purchases of inventory, employee compensation, depreciation, amortization, and depletion) included in certain expense captions presented on the face of the income statement. ASU 2024-03 is effective for fiscal years beginning after December 15, 2026, and for interim periods within fiscal years beginning after December 15, 2027, with early adoption permitted. This ASU may be applied prospectively with the option for retrospective application. The Company is currently evaluating the impact of the adoption of this standard on its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tables summarize financial assets that were measured at fair value on a recurring basis by level within the fair value hierarchy (in thousands):</w:t>
      </w:r>
    </w:p>
    <w:tbl>
      <w:tblPr>
        <w:tblW w:w="10107" w:type="dxa"/>
        <w:jc w:val="left"/>
        <w:tblInd w:w="0" w:type="dxa"/>
        <w:tblLayout w:type="fixed"/>
        <w:tblCellMar>
          <w:top w:w="28" w:type="dxa"/>
          <w:left w:w="28" w:type="dxa"/>
          <w:bottom w:w="28" w:type="dxa"/>
          <w:right w:w="28" w:type="dxa"/>
        </w:tblCellMar>
      </w:tblPr>
      <w:tblGrid>
        <w:gridCol w:w="5041"/>
        <w:gridCol w:w="146"/>
        <w:gridCol w:w="211"/>
        <w:gridCol w:w="781"/>
        <w:gridCol w:w="146"/>
        <w:gridCol w:w="146"/>
        <w:gridCol w:w="211"/>
        <w:gridCol w:w="676"/>
        <w:gridCol w:w="146"/>
        <w:gridCol w:w="146"/>
        <w:gridCol w:w="211"/>
        <w:gridCol w:w="781"/>
        <w:gridCol w:w="146"/>
        <w:gridCol w:w="146"/>
        <w:gridCol w:w="211"/>
        <w:gridCol w:w="571"/>
        <w:gridCol w:w="3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107" w:type="dxa"/>
        <w:jc w:val="left"/>
        <w:tblInd w:w="0" w:type="dxa"/>
        <w:tblLayout w:type="fixed"/>
        <w:tblCellMar>
          <w:top w:w="28" w:type="dxa"/>
          <w:left w:w="28" w:type="dxa"/>
          <w:bottom w:w="28" w:type="dxa"/>
          <w:right w:w="28" w:type="dxa"/>
        </w:tblCellMar>
      </w:tblPr>
      <w:tblGrid>
        <w:gridCol w:w="5041"/>
        <w:gridCol w:w="146"/>
        <w:gridCol w:w="211"/>
        <w:gridCol w:w="781"/>
        <w:gridCol w:w="146"/>
        <w:gridCol w:w="146"/>
        <w:gridCol w:w="211"/>
        <w:gridCol w:w="676"/>
        <w:gridCol w:w="146"/>
        <w:gridCol w:w="146"/>
        <w:gridCol w:w="211"/>
        <w:gridCol w:w="781"/>
        <w:gridCol w:w="146"/>
        <w:gridCol w:w="146"/>
        <w:gridCol w:w="211"/>
        <w:gridCol w:w="571"/>
        <w:gridCol w:w="3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restricted cash of $5.2 million as of March 31, 2025 and December 31, 2024, collateralized by the Company’s cash equivalents, are financial assets measured at fair value and are Level 1 financial instruments under the fair value hierarchy.</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The Company’s investments in preferred stock, common stock and warrants of Affini-T Therapeutics, Inc. (“Affini-T”) (see Note 5) are Level 3 financial assets. Given the challenging financing environment for cell therapy companies in early clinical development as well as recent updates provided by Affini-T management, the Company determined the need to assess the equity value of its investments in Affini-T on </w:t>
      </w:r>
      <w:r>
        <w:rPr>
          <w:rFonts w:ascii="Times New Roman" w:hAnsi="Times New Roman"/>
          <w:color w:val="000000"/>
          <w:sz w:val="20"/>
        </w:rPr>
        <w:t>December 31, 2024</w:t>
      </w:r>
      <w:r>
        <w:rPr>
          <w:rFonts w:ascii="Times New Roman" w:hAnsi="Times New Roman"/>
          <w:color w:val="231F20"/>
          <w:sz w:val="20"/>
        </w:rPr>
        <w:t xml:space="preserve"> and March 31, 2025, considering potential alternative outcomes under a hybrid method. The hybrid method is a hybrid between the probability-weighted expected returns method (the “PWERM”) and the option-pricing model backsolve method (the “OPM”). Using the PWERM, the equity value under scenarios including the sale of the company, the liquidation of the company, and the company continuing as a going concern, were weighted based on an estimate of the probability of each event occurring. The analysis was done by applying the OPM for inferring the total equity value implied by the Series B preferred stock financing round of Affini-T. </w:t>
      </w:r>
      <w:r>
        <w:rPr>
          <w:rFonts w:ascii="Times New Roman" w:hAnsi="Times New Roman"/>
          <w:color w:val="000000"/>
          <w:sz w:val="20"/>
        </w:rPr>
        <w:t>Key assumptions used in the OPM as of March 31, 2025 and December 31, 2024 included an expected holding period of two years, a risk free interest rate of 4.05%, a dividend yield of 0.0% and an estimated volatility of 88.5%. Estimated volatility was calculated based on the historical volatility of a selected peer group of public companies comparable to Affini-T.</w:t>
      </w:r>
    </w:p>
    <w:p>
      <w:pPr>
        <w:pStyle w:val="TextBody"/>
        <w:bidi w:val="0"/>
        <w:spacing w:before="240" w:after="120"/>
        <w:jc w:val="left"/>
        <w:rPr>
          <w:rFonts w:ascii="Times New Roman" w:hAnsi="Times New Roman"/>
          <w:color w:val="231F20"/>
          <w:sz w:val="20"/>
        </w:rPr>
      </w:pPr>
      <w:r>
        <w:rPr>
          <w:rFonts w:ascii="Times New Roman" w:hAnsi="Times New Roman"/>
          <w:color w:val="231F20"/>
          <w:sz w:val="20"/>
        </w:rPr>
        <w:t>The following table sets forth a summary of the changes in the fair value of the Company’s Level 3 financial assets (in thousands):</w:t>
      </w:r>
    </w:p>
    <w:tbl>
      <w:tblPr>
        <w:tblW w:w="7260" w:type="dxa"/>
        <w:jc w:val="left"/>
        <w:tblInd w:w="0" w:type="dxa"/>
        <w:tblLayout w:type="fixed"/>
        <w:tblCellMar>
          <w:top w:w="28" w:type="dxa"/>
          <w:left w:w="28" w:type="dxa"/>
          <w:bottom w:w="28" w:type="dxa"/>
          <w:right w:w="28" w:type="dxa"/>
        </w:tblCellMar>
      </w:tblPr>
      <w:tblGrid>
        <w:gridCol w:w="6061"/>
        <w:gridCol w:w="146"/>
        <w:gridCol w:w="211"/>
        <w:gridCol w:w="631"/>
        <w:gridCol w:w="21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investment received as collaboration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investment purchased in preferred stock purchase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included in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included in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tables summarize the amortized cost, unrealized gains (losses) and fair value of available-for-sale marketable securities (in thousands):</w:t>
      </w:r>
    </w:p>
    <w:tbl>
      <w:tblPr>
        <w:tblW w:w="9395" w:type="dxa"/>
        <w:jc w:val="left"/>
        <w:tblInd w:w="0" w:type="dxa"/>
        <w:tblLayout w:type="fixed"/>
        <w:tblCellMar>
          <w:top w:w="28" w:type="dxa"/>
          <w:left w:w="28" w:type="dxa"/>
          <w:bottom w:w="28" w:type="dxa"/>
          <w:right w:w="28" w:type="dxa"/>
        </w:tblCellMar>
      </w:tblPr>
      <w:tblGrid>
        <w:gridCol w:w="4066"/>
        <w:gridCol w:w="146"/>
        <w:gridCol w:w="211"/>
        <w:gridCol w:w="781"/>
        <w:gridCol w:w="166"/>
        <w:gridCol w:w="146"/>
        <w:gridCol w:w="295"/>
        <w:gridCol w:w="591"/>
        <w:gridCol w:w="146"/>
        <w:gridCol w:w="146"/>
        <w:gridCol w:w="318"/>
        <w:gridCol w:w="568"/>
        <w:gridCol w:w="166"/>
        <w:gridCol w:w="146"/>
        <w:gridCol w:w="211"/>
        <w:gridCol w:w="781"/>
        <w:gridCol w:w="5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104,929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224,245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224,866</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classified as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196,775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95" w:type="dxa"/>
        <w:jc w:val="left"/>
        <w:tblInd w:w="0" w:type="dxa"/>
        <w:tblLayout w:type="fixed"/>
        <w:tblCellMar>
          <w:top w:w="28" w:type="dxa"/>
          <w:left w:w="28" w:type="dxa"/>
          <w:bottom w:w="28" w:type="dxa"/>
          <w:right w:w="28" w:type="dxa"/>
        </w:tblCellMar>
      </w:tblPr>
      <w:tblGrid>
        <w:gridCol w:w="4066"/>
        <w:gridCol w:w="146"/>
        <w:gridCol w:w="211"/>
        <w:gridCol w:w="781"/>
        <w:gridCol w:w="166"/>
        <w:gridCol w:w="146"/>
        <w:gridCol w:w="295"/>
        <w:gridCol w:w="591"/>
        <w:gridCol w:w="146"/>
        <w:gridCol w:w="146"/>
        <w:gridCol w:w="318"/>
        <w:gridCol w:w="568"/>
        <w:gridCol w:w="166"/>
        <w:gridCol w:w="146"/>
        <w:gridCol w:w="211"/>
        <w:gridCol w:w="781"/>
        <w:gridCol w:w="5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109,657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247,090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classified as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220,921</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of March 31, 2025 and December 31, 2024, no significant facts or circumstances were present to indicate a deterioration in the creditworthiness of the issuers of the available-for-sale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For all securities with a fair value less than its amortized cost basis, the Company determined the decline in fair value below amortized cost basis to be immaterial and non-credit related, and therefore no allowance for losses has been recorded. During the three months ended March 31, 2025 and 2024, the Company did not recognize any impairment losses on its investments.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Accrued interest receivable included in prepaid expenses and other current assets as of March 31, 2025 and December 31, 2024 was $1.6 million. The Company has not written off any accrued interest receivable during the three months ended March 31, 2025 and 2024.</w:t>
      </w:r>
    </w:p>
    <w:p>
      <w:pPr>
        <w:pStyle w:val="TextBody"/>
        <w:bidi w:val="0"/>
        <w:spacing w:before="240" w:after="120"/>
        <w:jc w:val="left"/>
        <w:rPr>
          <w:rFonts w:ascii="Times New Roman" w:hAnsi="Times New Roman"/>
          <w:color w:val="231F20"/>
          <w:sz w:val="20"/>
        </w:rPr>
      </w:pPr>
      <w:r>
        <w:rPr>
          <w:rFonts w:ascii="Times New Roman" w:hAnsi="Times New Roman"/>
          <w:color w:val="231F20"/>
          <w:sz w:val="20"/>
        </w:rPr>
        <w:t>The amortized cost and fair value of available-for-sale marketable securities by contractual maturity were as follows (in thousands):</w:t>
      </w:r>
    </w:p>
    <w:tbl>
      <w:tblPr>
        <w:tblW w:w="9347" w:type="dxa"/>
        <w:jc w:val="left"/>
        <w:tblInd w:w="0" w:type="dxa"/>
        <w:tblLayout w:type="fixed"/>
        <w:tblCellMar>
          <w:top w:w="28" w:type="dxa"/>
          <w:left w:w="28" w:type="dxa"/>
          <w:bottom w:w="28" w:type="dxa"/>
          <w:right w:w="28" w:type="dxa"/>
        </w:tblCellMar>
      </w:tblPr>
      <w:tblGrid>
        <w:gridCol w:w="3966"/>
        <w:gridCol w:w="146"/>
        <w:gridCol w:w="211"/>
        <w:gridCol w:w="781"/>
        <w:gridCol w:w="146"/>
        <w:gridCol w:w="146"/>
        <w:gridCol w:w="211"/>
        <w:gridCol w:w="781"/>
        <w:gridCol w:w="146"/>
        <w:gridCol w:w="146"/>
        <w:gridCol w:w="211"/>
        <w:gridCol w:w="781"/>
        <w:gridCol w:w="146"/>
        <w:gridCol w:w="146"/>
        <w:gridCol w:w="211"/>
        <w:gridCol w:w="781"/>
        <w:gridCol w:w="391"/>
      </w:tblGrid>
      <w:tr>
        <w:trPr/>
        <w:tc>
          <w:tcPr>
            <w:tcW w:w="3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in one to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Long-Term Investments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Affini-T investment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2024, pursuant to the terms of the Development, Option and License Agreement with Affini-T (the “Affini-T Agreement”), the Company received equity consideration of 933,650 shares of Affini-T common stock upon the achievement of a regulatory milestone related to the submission of drug master files to the Food and Drug Administration (“FDA”) in support of an investigational new drug (“IND”) application for Affini-T’s T-cell receptor-based therapy. Refer to Note 7 for further discussion of the </w:t>
      </w:r>
      <w:r>
        <w:rPr>
          <w:rFonts w:ascii="Times New Roman" w:hAnsi="Times New Roman"/>
          <w:color w:val="231F20"/>
          <w:sz w:val="20"/>
        </w:rPr>
        <w:t>Affini-T Agreement to perform 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2024, in connection with Affini-T’s Series B extension, the Company entered into a Joinder to Series B Preferred Stock Purchase Agreement (the “Series B Purchase Agreement”), pursuant to which the Company purchased 33,383 shares of Series B convertible preferred stock of Affini-T (the “Affini-T Series B Preferred Stock”) at a purchase price of $9.714 per share and received warrants to purchase up to 16,691 shares of common stock at an exercise price of $0.01 per share, for an aggregate purchase price of approximately $0.3 million. The Series B Purchase Agreement also provides for the purchase of up to an additional 16,691 shares of Affini-T Series B Preferred Stock at a purchase price of $9.714 per share and warrants to purchase up to 8,345 shares of common stock at an exercise price of $0.01 per share in a subsequent milestone closing (the “Milestone Closing”), upon Affini-T achieving certain milestone conditions. The Milestone Closing has not occurred as of March 31, 2025.</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2024 and March 31, 2025, the Company had investments in Affini-T consisting of </w:t>
      </w:r>
      <w:r>
        <w:rPr>
          <w:rFonts w:ascii="Times New Roman" w:hAnsi="Times New Roman"/>
          <w:color w:val="231F20"/>
          <w:sz w:val="20"/>
        </w:rPr>
        <w:t>527,035 shares of Series A convertible preferred stock, 33,383 shares of Series B Preferred Stock, 1,867,300 shares of common stock, and a warrant exercisable for 16,691 shares of common stock</w:t>
      </w:r>
      <w:r>
        <w:rPr>
          <w:rFonts w:ascii="Times New Roman" w:hAnsi="Times New Roman"/>
          <w:color w:val="000000"/>
          <w:sz w:val="20"/>
        </w:rPr>
        <w: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Company is using the fair value method to account for its investments in Affini-T (see Note 3) with changes in fair value recorded to other income (expense) in the condensed statements of operations and comprehensive loss</w:t>
      </w:r>
      <w:r>
        <w:rPr>
          <w:rFonts w:ascii="Times New Roman" w:hAnsi="Times New Roman"/>
          <w:color w:val="231F20"/>
          <w:sz w:val="20"/>
        </w:rPr>
        <w:t xml:space="preserve">. The estimated fair value of its investments in Affini-T was $1.3 million as of March 31, 2025 and December 31, 2024.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Vittoria investment</w:t>
      </w:r>
    </w:p>
    <w:p>
      <w:pPr>
        <w:pStyle w:val="TextBody"/>
        <w:bidi w:val="0"/>
        <w:spacing w:before="120" w:after="283"/>
        <w:jc w:val="left"/>
        <w:rPr>
          <w:rFonts w:ascii="Times New Roman" w:hAnsi="Times New Roman"/>
          <w:sz w:val="20"/>
        </w:rPr>
      </w:pPr>
      <w:r>
        <w:rPr>
          <w:rFonts w:ascii="Times New Roman" w:hAnsi="Times New Roman"/>
          <w:color w:val="231F20"/>
          <w:sz w:val="20"/>
        </w:rPr>
        <w:t>As of March 31, 2025 and December 31, 2024, the Company had an investment in shares of preferred stock of ViTToria Biotherapeutics, Inc. (“Vittoria”), a private biotechnology company. During the three months ended March 31, 2025, and year ended December 31, 2024, the Company did not have a board seat and owned less than 20% of the outstanding voting shares of Vittoria. The investment in Vittoria does not provide the Company the ability to control or have significant influence over Vittoria’s operations. The Company accounts for its investment in Vittoria using the measurement alternative method. As of March 31, 2025 and December 31, 2024, the carrying value of Vittoria’s investment was $2.2 million and no impairment was recognized</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Accrued expenses and other current liabilities consist of the following (in thousands):</w:t>
      </w:r>
    </w:p>
    <w:tbl>
      <w:tblPr>
        <w:tblW w:w="8050" w:type="dxa"/>
        <w:jc w:val="left"/>
        <w:tblInd w:w="0" w:type="dxa"/>
        <w:tblLayout w:type="fixed"/>
        <w:tblCellMar>
          <w:top w:w="28" w:type="dxa"/>
          <w:left w:w="28" w:type="dxa"/>
          <w:bottom w:w="28" w:type="dxa"/>
          <w:right w:w="28" w:type="dxa"/>
        </w:tblCellMar>
      </w:tblPr>
      <w:tblGrid>
        <w:gridCol w:w="4461"/>
        <w:gridCol w:w="146"/>
        <w:gridCol w:w="340"/>
        <w:gridCol w:w="920"/>
        <w:gridCol w:w="146"/>
        <w:gridCol w:w="146"/>
        <w:gridCol w:w="403"/>
        <w:gridCol w:w="1097"/>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Significant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Moderna strategic collaboration and license agreement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was previously party to a Strategic Collaboration and License Agreement with ModernaTX, Inc. </w:t>
      </w:r>
      <w:r>
        <w:rPr>
          <w:rFonts w:ascii="Times New Roman" w:hAnsi="Times New Roman"/>
          <w:color w:val="231F20"/>
          <w:sz w:val="20"/>
        </w:rPr>
        <w:t>(“</w:t>
      </w:r>
      <w:r>
        <w:rPr>
          <w:rFonts w:ascii="Times New Roman" w:hAnsi="Times New Roman"/>
          <w:color w:val="000000"/>
          <w:sz w:val="20"/>
        </w:rPr>
        <w:t xml:space="preserve">Moderna”) (the “Moderna Agreement”), entered into in October 2021. Pursuant to the terms of the Moderna Agreement, the Company and Moderna collaborated on the research and development of </w:t>
      </w:r>
      <w:r>
        <w:rPr>
          <w:rFonts w:ascii="Times New Roman" w:hAnsi="Times New Roman"/>
          <w:i/>
          <w:color w:val="000000"/>
          <w:sz w:val="20"/>
        </w:rPr>
        <w:t>in vivo</w:t>
      </w:r>
      <w:r>
        <w:rPr>
          <w:rFonts w:ascii="Times New Roman" w:hAnsi="Times New Roman"/>
          <w:color w:val="000000"/>
          <w:sz w:val="20"/>
        </w:rPr>
        <w:t xml:space="preserve"> genome editing therapies directed at certain targets and the commercialization of such genome editing therapies. In connection with the Moderna Agreement, during the three months ended March 31, 2024, the Company recognized $2.8 million of collaboration revenue, which was included in deferred revenue as of December 31, 2023. As of March 31, 2024, deferred revenue related to the Moderna Agreement was $15.9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previously announced, on April 26, 2024, the Company and Moderna mutually terminated the Moderna Agreement (the “Termination”). The Moderna Agreement was terminated pursuant to a Mutual Termination Agreement (the “Termination Agreement”), dated as of April 26, 2024, by and between the Company and Moderna. As a result of the Termination, the Company regained full development and commercialization rights to its wholly-owned base editing and RNA-mediated integration systems that were subject to the Moderna Agreement. As of March 31, 2025 and December 31, 2024, there were no remaining unsatisfied performance obligations under the Moderna Agreement and the Company’s accounts receivable, deferred revenue and collaboration advance balances related to Moderna were zero.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Affini-T development, option and license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Terms of the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Affini-T Agreement entered into on June 14, 2022, the parties have agreed to identify, develop or optimize certain reagents using the Company’s proprietary technology for Affini-T to use such reagents to develop and commercialize gene edited T-cell receptor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A joint steering committee was established by both parties to assign alliance managers and project leaders to oversee the collaboration activities.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Pursuant to the Affini-T Agreement, the Company granted Affini-T options to receive, on a pre-specified target-by-pre-specified target basis, for up to six pre-specified targets, either (i) an exclusive, royalty-bearing, sublicensable worldwide license under all of the Company’s applicable intellectual property to research, develop, manufacture, use, commercialize and otherwise exploit any TCR-based therapy, preventative treatment, or diagnostic for humans that is directed to such pre-specified target, contains or comprises Primary TCR alpha/beta T Cells and is derived from </w:t>
      </w:r>
      <w:r>
        <w:rPr>
          <w:rFonts w:ascii="Times New Roman" w:hAnsi="Times New Roman"/>
          <w:i/>
          <w:color w:val="000000"/>
          <w:sz w:val="20"/>
        </w:rPr>
        <w:t>ex vivo</w:t>
      </w:r>
      <w:r>
        <w:rPr>
          <w:rFonts w:ascii="Times New Roman" w:hAnsi="Times New Roman"/>
          <w:color w:val="000000"/>
          <w:sz w:val="20"/>
        </w:rPr>
        <w:t xml:space="preserve"> application of a Company reagent (the “Exclusive Option”) or (ii) a non-exclusive, royalty-bearing, sublicensable worldwide license under all of the Company’s applicable intellectual property to research, develop, manufacture, use, commercialize and otherwise exploit any TCR-based therapy, preventative treatment, or diagnostic for humans that is directed to such pre-specified target, contains or comprises TCR natural killer (“NK”) cells derived from iPSC immune cells or TCR T cells derived from donor-derived or iPSC immune cells. Affini-T can exercise its options for either an exclusive license or a non-exclusive license, or both, for each pre-specified target by providing written notice prior to the earlier of (x) the end of the Affini-T Agreement term or (y) 90 days following the filing of an IND for a licensed product directed to a pre-specified target, subject to the payment of certain fees per each option exercised. After the option exercise, Affini-T has agreed to use commercially reasonable efforts to conduct all development and commercialization activities for a licensed product, and development and commercialization of all licensed products will be at Affini-T’s sole cost and expense. On April 14, 2025, Affini-T exercised an option to a non-exclusive license for one of its pre-specified targets, triggering an exercise payment to the Company of $0.3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Affini-T Agreement, the Company received upfront equity consideration of 719,920 shares of Affini-T’s common stock with an estimated fair value of $1.3 million in June 2022. Upon achievement of a regulatory milestone in July 2024 related to the submission of drug master files to the FDA in support of an IND for Affini-T’s T-cell receptor-based therapy, the Company received additional equity consideration of 933,650 shares of Affini-T common stock with an estimated fair value of $1.6 million in July 2024. The fair value of Affini-T’s shares of common stock was estimated by management, considering the most recent third-party valuation at the time of each grant. Affini-T has also agreed to reimburse the Company for expenses incurred while performing research activities under the research plans. As of March 31, 2025, the Company has received a total of $7.7 million from Affini-T related to reimbursable expenses. Additionally, the Company is eligible to receive (i) up to $18.8 million in future developmental milestone payments depending on the completion of or the number of patients dosed in, the relevant human clinical trial, or the initiation of a pivotal trial, and $40.6 million in future regulatory approval milestone payments, which include regulatory approvals in the U.S. and other markets for licensed products directed to a pre-specified target if options for both exclusive and non-exclusive licenses are exercised with respect to such target, (ii) up to $250.0 million in sales-based milestones for aggregate sales of all licensed products directed to a given pre-specified target and (iii) royalties ranging from a low-single digit to high-single digit percentage of worldwide annual net sales of licensed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term of the Affini-T Agreement is five years from the effective date. If Affini-T exercises an Exclusive Option with respect to any pre-specified target during the initial term, the initial term will be extended by an additional five years. Following the expiration of the extended term, if any, the agreement will continue on a target-by-target basis and expire with respect to such target upon the expiration of the royalty term for all licensed products directed to such target. The Affini-T Agreement may be terminated during the term by either party for an uncured material breach by, or bankruptcy of, the other party. Additionally, Affini-T may terminate the Affini-T Agreement for convenience, in its entirety, on a research plan-by-research plan basis, on a target-by-target basis or on a licensed product-by-licensed product basis, by providing prior written notice.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analysis and 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the Affini-T Agreement is in the scope of ASC 606 and that there is one performance obligation to perform research activities under the Affini-T Agreement. Exclusive and non-exclusive licenses are optional contingent purchases that do not include significant incremental discounts, and therefore do not provide a material right.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effective date, the transaction price consisted of the upfront equity consideration with an estimated fair value of $1.3 million and estimated research reimbursement costs. Research reimbursement costs represent variable consideration, and the Company’s management estimates what portion to include in total consideration at the end of each reporting period. Other payments under the Affini-T Agreement, including additional equity consideration and development and regulatory milestones, also represent variable consideration, and were constrained at the effective date to the extent that the inclusion of such variable consideration could result in a significant reversal of cumulative revenue in future periods. In June 2023, the joint steering committee approved the budget for estimated research reimbursement costs for the Affini-T Agreement, which resulted in a $2.4 million reduction to variable consideration. In July 2024, the Company included previously constrained additional equity consideration related to the regulatory milestone with an estimated fair value of $1.6 million in the transaction price, resulting in an increase to variable consideration. As of March 31, 2025 and December 31, 2024, future development and regulatory milestone payments were excluded from the estimated total transaction price as they were considered constrained. In addition, the equity consideration related to the regulatory milestone was also excluded from the estimated total transaction price as of December 31, 2023, as it was also considered constrained. The transaction price is reevaluated in each reporting period and as changes in circumstances occur. The Company recognizes revenue each reporting period based on the measure of progress using an estimated cost-based input method.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collaboration revenue of $0.2 million and $0.3 million for the three months ended March 31, 2025 and 2024, respectively. As of March 31, 2025 and December 31, 2024, the accounts receivable balance was $0.1 million and $0.2 million, respectively, related to services performed. There was no contract asset related to services performed as of March 31, 2025 and December 31, 2024. As of March 31, 2025 and December 31, 2024, deferred revenue related to the Affini-T Agreement was $0.1 million and $0.2 million, respectively. The value of the transaction price allocated to the remaining unsatisfied portion of the performance obligation was approximately $0.5 million as of March 31, 2025, which the Company expects to recognize as revenue over the next four-to-five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Ionis collaboration and license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Terms of the agreement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2022, the Company entered into a Collaboration and License Agreement with </w:t>
      </w:r>
      <w:r>
        <w:rPr>
          <w:rFonts w:ascii="Times New Roman" w:hAnsi="Times New Roman"/>
          <w:color w:val="231F20"/>
          <w:sz w:val="20"/>
        </w:rPr>
        <w:t>Ionis Pharmaceuticals, Inc. (“</w:t>
      </w:r>
      <w:r>
        <w:rPr>
          <w:rFonts w:ascii="Times New Roman" w:hAnsi="Times New Roman"/>
          <w:color w:val="000000"/>
          <w:sz w:val="20"/>
        </w:rPr>
        <w:t xml:space="preserve">Ionis”) (the “Ionis Agreement”) to research, develop and commercialize investigational medicines using our genome editing technologies, with the goal of discovering novel medicines. Pursuant to the terms of the Ionis Agreement, the Company granted Ionis and its affiliates a worldwide exclusive, royalty-bearing license, with the right to grant sublicenses, to use all licensed systems and licensed products in the field of </w:t>
      </w:r>
      <w:r>
        <w:rPr>
          <w:rFonts w:ascii="Times New Roman" w:hAnsi="Times New Roman"/>
          <w:i/>
          <w:color w:val="000000"/>
          <w:sz w:val="20"/>
        </w:rPr>
        <w:t>in vivo</w:t>
      </w:r>
      <w:r>
        <w:rPr>
          <w:rFonts w:ascii="Times New Roman" w:hAnsi="Times New Roman"/>
          <w:color w:val="000000"/>
          <w:sz w:val="20"/>
        </w:rPr>
        <w:t xml:space="preserve"> genome editing for all therapeutic, prophylactic, palliative, and analgesic uses in humans. In connection with the Ionis Agreement, the Company also has the right to exercise an exclusive option to co-develop and co-commercialize certain products under a drug discovery program. A joint steering committee was established by both parties to coordinate, oversee and monitor the research and drug discovery activities under the Ionis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will collaborate to discover therapeutic products under a drug discovery program and develop a drug discovery plan for each target, selected by Ionis. The target selection is divided into two waves: up to four targets in Wave 1 and up to four targets in Wave 2. For each drug discovery program, once the parties identify a development candidate that is suitable for further development, Ionis will be responsible for the development and commercialization of products resulting from such program. Per the terms of the Ionis Agreement, at any time prior to the designation of a development candidate for a drug discovery program and for any reason, Ionis may replace the collaboration target, provided such target has not previously been substituted out. Ionis may substitute (i) up to two Wave 1 targets and (ii) up to two Wave 2 targets.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drug discovery activities for a program commence on the selection of a target and expire upon the earlier of (a) completion of all drug discovery activities for such program, (b) the fifth anniversary of the effective date and (c) selection of a development candidate for such drug discovery program. If one or more Wave 2 targets become collaboration targets as a result of the parties achieving enabled delivery and less than two years are remaining in the drug discovery term, then the term will be extended to the earlier of (i) the time that the Company completes all of its activities under the applicable drug discovery plan and (ii) the seventh anniversary of the effective date, subject to the Company’s consent.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will also conduct an exploratory research program, and will jointly optimize gRNA and select delivery technologies and other activities. The exploratory research activities commence on the effective date and expire upon the earlier of (a) completion of all exploratory research activities established in the exploratory research plan, and (b) the fifth anniversary of the effective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the exclusive option to co-develop and co-commercialize the licensed products under a drug discovery program (the “Co-Co Option”) with Ionis. The Co-Co Option may be exercised for (a) the initial Wave 1 target (“Target 1”), (b) no more than one of the other three discovery programs for the Wave 1 targets, and (c) no more than two drug discovery programs for the Wave 2 targets that become collaboration targets. If the Company exercises the Co-Co Option for a particular drug discovery program, that drug discovery program will automatically be deemed a “Co-Co Program”, all corresponding licensed products be deemed “Co-Co Products,” the Company will be obligated to pay Ionis an option exercise fee, and the parties will enter into a separate co-development and co-commercialization agreement. The Co-Co Option exercise fee will equal 50% of Ionis’ internal costs and out-of-pocket costs incurred in the conduct of the drug discovery activities prior to the exercise of the Co-Co Option and be reduced by 50% of the Company’s corresponding costs incurred. Future development and commercialization costs will be shared equally. The Company may elect to reduce its cost-share percentage anywhere between 50% and 25% on a go-forward basis, provided the Company will continue to bear 50% of the costs of any clinical trials ongoing at the time of the election through the completion of the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manufacture all licensed systems and certain components of the applicable licensed products that are needed by Ionis for use in its development activities and all of the Company’s manufactured components needed by Ionis for use in its commercialization activities. The Company will provide the manufactured components at a price that represents the cost of goods plus 15%. As of March 31, 2025, the Company received a total of $1.2 million related to the manufactured components.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Pursuant to the terms of the Ionis Agreement, the Company has also been granted an option to obtain a non-exclusive, royalty-bearing license, with the right to grant sublicenses, for certain Ionis’ background technology to use in up to eight therapeutic products discovered by the Company in the field of </w:t>
      </w:r>
      <w:r>
        <w:rPr>
          <w:rFonts w:ascii="Times New Roman" w:hAnsi="Times New Roman"/>
          <w:i/>
          <w:color w:val="000000"/>
          <w:sz w:val="20"/>
        </w:rPr>
        <w:t>in vivo</w:t>
      </w:r>
      <w:r>
        <w:rPr>
          <w:rFonts w:ascii="Times New Roman" w:hAnsi="Times New Roman"/>
          <w:color w:val="000000"/>
          <w:sz w:val="20"/>
        </w:rPr>
        <w:t xml:space="preserve"> genome editing and directed to a Collaboration Target (each such product, a “Metagenomi Product” and each such option an “Ionis IP Option”), but subject to encumbrance checks with respect to particular targets. A Collaboration Target is a target that is selected by Ionis, and, with respect to the Company is not the subject of discussions with a third party, is not the subject of a contractual grant of rights to a third party nor the subject to an internal research and development program. If the Company exercises its Ionis IP Option, the Company will pay to Ionis up to several million dollars per Metagenomi Product upon achievement of certain clinical and regulatory milestones. The Company is also obligated to pay Ionis royalties in an amount equal to a low single-digit royalty on the net sales of the applicable Metagenomi Product on a product-by-product and country-by-country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2022, the Company received an $80.0 million upfront payment from Ionis for the Wave 1 drug discovery research collaboration and selected Target 1. Ionis selected its second target (“Target 2”) in Wave 1 in December 2022, its third target (“Target 3”) in Wave 1 in November 2023, and its fourth target (“Target 4”) in Wave 1 in February 2024. Ionis has an option to select up to four Wave 2 targets at any time during the drug discovery term, if (a) an IND for any licensed product directed to a Wave 1 target is filed with the applicable regulatory authority or (b) the parties achieve enabled delivery for a non-liver target under the exploratory research activities, by providing written notice and by paying a Wave 2 target selection fee of $15.0 million or $30.0 million, depending on and per the selected target.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Ionis is obligated to reimburse the Company for all internal costs and out-of-pocket costs incurred in the performance of the exploratory research activities, up to an aggregate of $10.0 million, which is payable in quarterly installments of $0.5 million during the exploratory research term. As of March 31, 2025, the Company received a total of $4.5 million related to the reimbursable expenses. The Company is also eligible to receive (a) up to $29.0 million in future development milestone payments for each licensed product; (b) up to $60.0 million in future regulatory milestone payments for each licensed product; (c) up to $250.0 million in sales-based milestones for each licensed product; and (d) royalties on annual net sales of licensed products from a mid-single-digit to low-teens percentage, subject to customary reductions.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of the Ionis Agreement will continue (i) with respect to the drug discovery programs, until the expiration of all applicable royalty terms for a licensed product, (ii) with respect to the Co-Co Programs, until the parties cease all exploitation for the Co-Co Products that are the subject to such Co-Co Program, and with respect to the Metagenomi Products, until the expiration of the royalty term for a Metagenomi Product. The royalty term ends on the latest of the following two dates: (i) the expiration of (A) the last claim of any issued and unexpired patent, or (B) a claim within a patent application that has not been pending for more than seven years from the earliest date to which the claim or applicable patent application is entitled to claim priority and which claim has not been revoked, canceled, withdrawn, held invalid, or abandoned, or (ii) 12 years following the first commercial sale of a licensed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Ionis Agreement may be terminated during the term by either party for an uncured material breach or bankruptcy by the other party. Additionally, Ionis may terminate the Ionis Agreement for convenience and without penalty, in its entirety or on a licensed product-by-licensed product basis, by providing 90 days’ written notice.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analysis and 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the Ionis Agreement is in the scope of ASC 606 at the effective date and until the Company exercises its Co-Co Option for any drug discovery program, which was determined to not be probable at the effective date and as of March 31, 2025 and December 31, 2024. The Company also concluded that exclusive licenses and participation in a joint steering committee are not distinct from discovery research services and should thus be combined into one performance obligation (the “discovery program”). The Company also concluded that exploratory research services are a separate and distinct performance obligation (the “exploratory program”). The Ionis options for Wave 2 targets are optional purchases and do not have significant incremental discounts, as such, the options do not provide material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allocated the total estimated transaction price of $90.0 million, which consisted of an $80.0 million upfront payment received in November 2022 and $10.0 million in reimbursements for research costs, into two performance obligations, which was determined based on their estimated standalone selling prices. The Company concluded that future development and commercial supply agreements are at market terms, as the terms were consistent with industry standards as of the effective date. The Company constrains future milestone payments under the arrangement to the extent that the inclusion of such variable consideration could result in a significant reversal of cumulative revenue in future periods. The Company constrained all development and regulatory milestone payments at the effective date and as of March 31, 2025 and December 31, 2024. The Company is recognizing revenue of $80.0 million related to the discovery program and $10.0 million related to exploratory program over the research terms using an estimated cost-based input method as a measure of progress for each obligation.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2024, the Company included previously constrained estimated manufacturing costs in the transaction price, resulting in a $3.4 million increase to variable consideration. The Company recognized collaboration revenue of $4.0 million for the three months ended March 31, 2025, of which $2.5 million was included in deferred revenue as of December 31, 2024. The Company recognized collaboration revenue of $8.1 million for the three months ended March 31, 2024, which was included in deferred revenue as of December 31, 2023. As of March 31, 2025 and December 31, 2024, deferred revenue related to the Ionis Agreement was $29.7 million and $32.8 million, respectively. As of March 31, 2025 and December 31, 2024, the accounts receivable balance was $0.9 million and $1.1 million, respectively. The value of the transaction price allocated to the remaining performance obligations was approximately $36.8 million as of March 31, 2025, which the Company expects to recognize as revenue over the next three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information about the Company’s Operating Leases, see “Note 8. Commitments and Contingencies – Operating Leases” of the “Notes to Consolidated Financial Statements” included in Part II, Item 8 of its Annual Report on Form 10-K for the year ended December 31,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September 26, 2024, a class action complaint was filed in the U.S. District Court for the Northern District of California against the Company and certain of the Company’s officers and certain of its current and former directors, captioned </w:t>
      </w:r>
      <w:r>
        <w:rPr>
          <w:rFonts w:ascii="Times New Roman" w:hAnsi="Times New Roman"/>
          <w:i/>
          <w:color w:val="000000"/>
          <w:sz w:val="20"/>
        </w:rPr>
        <w:t>Vreeland v. Metagenomi Inc. et al.</w:t>
      </w:r>
      <w:r>
        <w:rPr>
          <w:rFonts w:ascii="Times New Roman" w:hAnsi="Times New Roman"/>
          <w:color w:val="000000"/>
          <w:sz w:val="20"/>
        </w:rPr>
        <w:t>, No. 5:24-cv-06765 (the “Securities Action”). On February 10, 2025, the court appointed Mingxi Bi as lead plaintiff. On April 4, 2025, the plaintiffs filed an amended complaint. The operative complaint in the Securities Action alleges violations of Section 11 of the Securities Act against all defendants and control person violations of Section 15 against the individuals. The Securities Action alleges that the defendants made misleading statements and omitted to disclose material information concerning the Company’s collaboration with Moderna in the Company’s registration statement and final prospectus materials filed in January 2024 and February 2024. The Securities Action seeks, among other things, compensatory damages as well as costs and expenses, including attorneys’ fees and expert fees. The Company is currently unable to predict the outcome of this lawsuit and therefore cannot determine the likelihood of loss, if any, nor estimate a range of possible loss. The Company intends to defend vigorously against this litigation</w:t>
      </w:r>
      <w:r>
        <w:rPr>
          <w:rFonts w:ascii="Times New Roman" w:hAnsi="Times New Roman"/>
          <w:color w:val="000000"/>
          <w:sz w:val="24"/>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Other than the Securities Action, the Company is currently not aware of any legal matters that could have a material adverse effect on the Company’s financial position, results of operations or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Its exposure under these agreements is unknown because it involves claims that may be made against the Company in the future. To the extent permitted under Delaware law, the Company has agreed to indemnify its directors and officers for certain events or occurrences while the director or officer is, or was serving, at a request in such capacity. To date, the Company has not paid any claims or been required to defend any action related to its indemnification obligations. As of March 31, 2025 and December 31, 2024, the Company did not have any material indemnification claims that were probable or reasonably possible and consequently has not recorded related liabilities.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Redeemable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24, 2024, in connection with the Reorganization, all outstanding redeemable convertible preferred units were converted into an equal number of shares of redeemable convertible preferred stock. Immediately prior to the closing of the IPO, all of the then-outstanding shares of redeemable convertible preferred stock converted into 23,935,594 shares of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and restated certificate of incorporation authorizes the Company to issue 500,000,000 shares of common stock. Each share of common stock is entitled to cast one vote. The holders of common stock are also entitled to receive distributions whenever funds are legally available and when declared by the Company’s Board of Directors. No distributions have been declared from inception to date.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8, 2024, Metagenomi, Inc.’s Form S-1 Registration Statement for its initial public offering (the “IPO”) was declared effective and the common stock of Metagenomi, Inc. began trading on the Nasdaq Global Select Market under the symbol “MGX.” On February 13, 2024, the closing date of IPO, the Company issued 6,250,000 shares of common stock at a price to the public of $15.00 per share. In connection with the closing of the IPO, the Company received gross proceeds of approximately $93.8 million and net proceeds of approximately $80.7 million, after deducting underwriting discounts and commissions and other offering costs totaling approximately $13.0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120" w:after="283"/>
        <w:jc w:val="left"/>
        <w:rPr>
          <w:rFonts w:ascii="Times New Roman" w:hAnsi="Times New Roman"/>
          <w:sz w:val="20"/>
        </w:rPr>
      </w:pPr>
      <w:r>
        <w:rPr>
          <w:rFonts w:ascii="Times New Roman" w:hAnsi="Times New Roman"/>
          <w:color w:val="000000"/>
          <w:sz w:val="20"/>
        </w:rPr>
        <w:t>On March 17, 2025, the Company filed a shelf registration on Form S-3 (the “Shelf Registration Statement”), which was declared effective on March 25, 2025. The Shelf Registration Statement permits the offering of up to $250.0 million aggregate dollar amount of shares of our common stock, preferred stock, debt securities, warrants and/or units, in one or more offerings and in any combination. In connection with the Shelf Registration Statement, the Company entered into an Open Market Sale Agreement</w:t>
      </w:r>
      <w:r>
        <w:rPr>
          <w:rFonts w:ascii="Times New Roman" w:hAnsi="Times New Roman"/>
          <w:color w:val="000000"/>
          <w:sz w:val="13"/>
        </w:rPr>
        <w:t>SM</w:t>
      </w:r>
      <w:r>
        <w:rPr>
          <w:rFonts w:ascii="Times New Roman" w:hAnsi="Times New Roman"/>
          <w:color w:val="000000"/>
          <w:sz w:val="20"/>
        </w:rPr>
        <w:t xml:space="preserve"> (the “ATM Sales Agreement”) with Jefferies LLC (“Jefferies”) on March 17, 2025, pursuant to which the Company may issue and sell, from time to time and at its sole discretion, shares of its common stock, through Jefferies as the sales agent, by any method permitted by law deemed to be an “at the market” (“ATM”) offering as defined in Rule 415(a)(4) promulgated under the Securities Act, having an aggregate offering price of up to $75.0 million. The Company will pay Jefferies a commission fee of up to 3.0 percent (3.0%) of the gross proceeds of any shares sold through Jefferies under the ATM Sales Agreement, and has also provided Jefferies with customary indemnification and contribution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common stock will be sold at prevailing market prices at the time of the sale, and, as a result, prices may vary. The Company is not obligated to make any sales of shares of its common stock under the ATM Sales Agreement. As of March 31, 2025, no shares have been sold under the ATM Sales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2019 Equity Incentive Plan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Prior to the Reorganization, the Company granted profits interests under the 2019 Equity Incentive Plan, adopted on March 13, 2019 (the “2019 Plan”). The Company granted profits interests with a threshold amount established by the Board of Managers of the Company’s predecessor, Metagenomi LLC, on the date of issuance. The 2019 Plan allowed for grants of profits interests to the Company’s officers, employees, directors and consultants. Immediately after the Reorganization, all of the outstanding profits interest units were exchanged for shares of common stock, including shares subject to certain vesting conditions. The following table presents a summary of the unvested common stock activity:</w:t>
      </w:r>
    </w:p>
    <w:tbl>
      <w:tblPr>
        <w:tblW w:w="6896" w:type="dxa"/>
        <w:jc w:val="left"/>
        <w:tblInd w:w="0" w:type="dxa"/>
        <w:tblLayout w:type="fixed"/>
        <w:tblCellMar>
          <w:top w:w="28" w:type="dxa"/>
          <w:left w:w="28" w:type="dxa"/>
          <w:bottom w:w="28" w:type="dxa"/>
          <w:right w:w="28" w:type="dxa"/>
        </w:tblCellMar>
      </w:tblPr>
      <w:tblGrid>
        <w:gridCol w:w="3166"/>
        <w:gridCol w:w="146"/>
        <w:gridCol w:w="222"/>
        <w:gridCol w:w="1188"/>
        <w:gridCol w:w="166"/>
        <w:gridCol w:w="146"/>
        <w:gridCol w:w="396"/>
        <w:gridCol w:w="1075"/>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Unvested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2024 Stock Option and Incentive Plan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Stock Option Activity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 summary of the stock option activity:</w:t>
      </w:r>
    </w:p>
    <w:tbl>
      <w:tblPr>
        <w:tblW w:w="6940" w:type="dxa"/>
        <w:jc w:val="left"/>
        <w:tblInd w:w="0" w:type="dxa"/>
        <w:tblLayout w:type="fixed"/>
        <w:tblCellMar>
          <w:top w:w="28" w:type="dxa"/>
          <w:left w:w="28" w:type="dxa"/>
          <w:bottom w:w="28" w:type="dxa"/>
          <w:right w:w="28" w:type="dxa"/>
        </w:tblCellMar>
      </w:tblPr>
      <w:tblGrid>
        <w:gridCol w:w="3166"/>
        <w:gridCol w:w="146"/>
        <w:gridCol w:w="191"/>
        <w:gridCol w:w="1219"/>
        <w:gridCol w:w="166"/>
        <w:gridCol w:w="146"/>
        <w:gridCol w:w="408"/>
        <w:gridCol w:w="1107"/>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Weighted-Average </w:t>
              <w:br/>
              <w:t>Exercise 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i/>
          <w:color w:val="231F20"/>
          <w:sz w:val="20"/>
        </w:rPr>
      </w:pPr>
      <w:r>
        <w:rPr>
          <w:rFonts w:ascii="Times New Roman" w:hAnsi="Times New Roman"/>
          <w:i/>
          <w:color w:val="231F20"/>
          <w:sz w:val="20"/>
        </w:rPr>
        <w:t>Restricted Stock Unit Activity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 summary of the restricted stock unit activity:</w:t>
      </w:r>
    </w:p>
    <w:tbl>
      <w:tblPr>
        <w:tblW w:w="6413" w:type="dxa"/>
        <w:jc w:val="left"/>
        <w:tblInd w:w="0" w:type="dxa"/>
        <w:tblLayout w:type="fixed"/>
        <w:tblCellMar>
          <w:top w:w="28" w:type="dxa"/>
          <w:left w:w="28" w:type="dxa"/>
          <w:bottom w:w="28" w:type="dxa"/>
          <w:right w:w="28" w:type="dxa"/>
        </w:tblCellMar>
      </w:tblPr>
      <w:tblGrid>
        <w:gridCol w:w="3166"/>
        <w:gridCol w:w="146"/>
        <w:gridCol w:w="146"/>
        <w:gridCol w:w="781"/>
        <w:gridCol w:w="166"/>
        <w:gridCol w:w="146"/>
        <w:gridCol w:w="396"/>
        <w:gridCol w:w="1075"/>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classification of stock-based compensation expense for the periods presented (in thousands):</w:t>
      </w:r>
    </w:p>
    <w:tbl>
      <w:tblPr>
        <w:tblW w:w="5484" w:type="dxa"/>
        <w:jc w:val="left"/>
        <w:tblInd w:w="0" w:type="dxa"/>
        <w:tblLayout w:type="fixed"/>
        <w:tblCellMar>
          <w:top w:w="28" w:type="dxa"/>
          <w:left w:w="28" w:type="dxa"/>
          <w:bottom w:w="28" w:type="dxa"/>
          <w:right w:w="28" w:type="dxa"/>
        </w:tblCellMar>
      </w:tblPr>
      <w:tblGrid>
        <w:gridCol w:w="3091"/>
        <w:gridCol w:w="146"/>
        <w:gridCol w:w="211"/>
        <w:gridCol w:w="571"/>
        <w:gridCol w:w="146"/>
        <w:gridCol w:w="146"/>
        <w:gridCol w:w="211"/>
        <w:gridCol w:w="571"/>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there was $9.1 million unrecognized compensation expense related to restricted stock awards that is expected to be recognized over a weighted-average period of 1.7 years, $15.8 million unrecognized compensation expense related to stock options that is expected to be recognized over a weighted-average period of 2.9 years and $3.3 million unrecognized compensation expense related to restricted stock units that is expected to be recognized over a weighted-average period of 3.2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operates and manages its business as one operating and reportable segment, which is the business of developing curative therapeutics for patients using the Company’s proprietary, comprehensive metagenomics-derived genome editing toolbox. All of the Company’s long-lived assets are located in the U.S. All revenue presented relate to contracts with customers located in the U.S. The chief executive officer, who is the chief operating decision maker (CODM), reviews financial information for purposes of evaluating financial performance, making operating decisions, allocating resources and planning and forecasting for future periods. The CODM assesses performance and decides how to allocate resources based on net loss. This measure is used to monitor budget versus actual results to evaluate the performance of the segment.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presents the results of operations that are provided to the Company’s CODM for the periods presented (in thousands).</w:t>
      </w:r>
    </w:p>
    <w:tbl>
      <w:tblPr>
        <w:tblW w:w="7009" w:type="dxa"/>
        <w:jc w:val="left"/>
        <w:tblInd w:w="0" w:type="dxa"/>
        <w:tblLayout w:type="fixed"/>
        <w:tblCellMar>
          <w:top w:w="28" w:type="dxa"/>
          <w:left w:w="28" w:type="dxa"/>
          <w:bottom w:w="28" w:type="dxa"/>
          <w:right w:w="28" w:type="dxa"/>
        </w:tblCellMar>
      </w:tblPr>
      <w:tblGrid>
        <w:gridCol w:w="4266"/>
        <w:gridCol w:w="146"/>
        <w:gridCol w:w="211"/>
        <w:gridCol w:w="736"/>
        <w:gridCol w:w="166"/>
        <w:gridCol w:w="146"/>
        <w:gridCol w:w="211"/>
        <w:gridCol w:w="736"/>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Ionis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Moderna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Affini-T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overhead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supplies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Basic and diluted net loss per share attributable to common stockholders is calculated as follows (in thousands except share and per share amounts):</w:t>
      </w:r>
    </w:p>
    <w:tbl>
      <w:tblPr>
        <w:tblW w:w="9514" w:type="dxa"/>
        <w:jc w:val="left"/>
        <w:tblInd w:w="0" w:type="dxa"/>
        <w:tblLayout w:type="fixed"/>
        <w:tblCellMar>
          <w:top w:w="28" w:type="dxa"/>
          <w:left w:w="28" w:type="dxa"/>
          <w:bottom w:w="28" w:type="dxa"/>
          <w:right w:w="28" w:type="dxa"/>
        </w:tblCellMar>
      </w:tblPr>
      <w:tblGrid>
        <w:gridCol w:w="6151"/>
        <w:gridCol w:w="146"/>
        <w:gridCol w:w="211"/>
        <w:gridCol w:w="1036"/>
        <w:gridCol w:w="166"/>
        <w:gridCol w:w="146"/>
        <w:gridCol w:w="211"/>
        <w:gridCol w:w="1036"/>
        <w:gridCol w:w="41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37,387,580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21,851,706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Weighted-average unvested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37,019,027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21,137,868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sz w:val="20"/>
        </w:rPr>
      </w:pPr>
      <w:r>
        <w:rPr>
          <w:rFonts w:ascii="Times New Roman" w:hAnsi="Times New Roman"/>
          <w:color w:val="000000"/>
          <w:sz w:val="20"/>
        </w:rPr>
        <w:t xml:space="preserve">The </w:t>
      </w:r>
      <w:r>
        <w:rPr>
          <w:rFonts w:ascii="Times New Roman" w:hAnsi="Times New Roman"/>
          <w:color w:val="231F20"/>
          <w:sz w:val="20"/>
        </w:rPr>
        <w:t>following outstanding potentially dilutive securities have been excluded from the calculation of diluted net loss per share, as their effect would have been anti-dilutive:</w:t>
      </w:r>
    </w:p>
    <w:tbl>
      <w:tblPr>
        <w:tblW w:w="6269" w:type="dxa"/>
        <w:jc w:val="left"/>
        <w:tblInd w:w="0" w:type="dxa"/>
        <w:tblLayout w:type="fixed"/>
        <w:tblCellMar>
          <w:top w:w="28" w:type="dxa"/>
          <w:left w:w="28" w:type="dxa"/>
          <w:bottom w:w="28" w:type="dxa"/>
          <w:right w:w="28" w:type="dxa"/>
        </w:tblCellMar>
      </w:tblPr>
      <w:tblGrid>
        <w:gridCol w:w="3436"/>
        <w:gridCol w:w="146"/>
        <w:gridCol w:w="146"/>
        <w:gridCol w:w="931"/>
        <w:gridCol w:w="146"/>
        <w:gridCol w:w="146"/>
        <w:gridCol w:w="146"/>
        <w:gridCol w:w="781"/>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subject to future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915,709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915,709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financial statements and the related notes thereto included elsewhere in this Quarterly Report on Form 10-Q and our audited consolidated financial statements and notes and Management’s Discussion and Analysis of Financial Condition and Results of Operations, included in our Annual Report on Form 10-K for the year ended December 31, 2024, filed with the SEC on March 17, 2025. As discussed in the section titled “Special Note Regarding Forward-Looking Statements,” the following discussion and analysis contains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under Part II, Item 1A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precision gene editing company committed to developing curative therapeutics for patients using our proprietary, comprehensive genome editing toolbox, which has the potential to target any genetic mutation found across the entire human genome. By harnessing the power of metagenomics, the study of genetic material recovered from the natural environment, combined with high-throughput screening, artificial intelligence (“AI”), and proprietary algorithms, our platform rapidly and effectively mines through billions of novel proteins from our genome-resolved database to select genome editing tools that we develop into our next generation genetic medicines.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comprehensive genome editing toolbox includes systems for making small edits such as programmable nucleases, base editors, and small RNA-mediated integration systems (“RIGS”), as well as large gene integration systems including large template RIGS and CRISPR-associated transposases (“CASTs”). These tools form a toolbox that can potentially make any desired gene modification ranging from gene knock-down, gene knock-in as well as small and large genetic changes. In addition, our toolbox includes ultra small editing systems which have the potential to be packaged into a single adeno-associated virus (“AAV”) to address extrahepatic therapeutic indications. All elements of our toolbox are wholly-owned, and we have constructed a broad patent estate that protects our intellectual property, which we expect will continue to expand as we discover, interrogate, and optimize our novel editing systems.</w:t>
      </w:r>
    </w:p>
    <w:p>
      <w:pPr>
        <w:pStyle w:val="TextBody"/>
        <w:bidi w:val="0"/>
        <w:spacing w:before="240" w:after="283"/>
        <w:jc w:val="left"/>
        <w:rPr>
          <w:rFonts w:ascii="Times New Roman" w:hAnsi="Times New Roman"/>
          <w:sz w:val="20"/>
        </w:rPr>
      </w:pPr>
      <w:r>
        <w:rPr>
          <w:rFonts w:ascii="Times New Roman" w:hAnsi="Times New Roman"/>
          <w:color w:val="000000"/>
          <w:sz w:val="20"/>
        </w:rPr>
        <w:t>We are taking a stepwise approach</w:t>
      </w:r>
      <w:r>
        <w:rPr>
          <w:rFonts w:ascii="Times New Roman" w:hAnsi="Times New Roman"/>
          <w:color w:val="000000"/>
          <w:sz w:val="20"/>
          <w:u w:val="single"/>
        </w:rPr>
        <w:t>,</w:t>
      </w:r>
      <w:r>
        <w:rPr>
          <w:rFonts w:ascii="Times New Roman" w:hAnsi="Times New Roman"/>
          <w:color w:val="000000"/>
          <w:sz w:val="20"/>
        </w:rPr>
        <w:t xml:space="preserve"> deploying our genome editing toolbox to develop potentially curative therapies for patients across a broad array of diseases and target organs including the liver, central nervous system, muscle, kidney, and lung, matching the right tool to each specific target. Our lead programs are selected to both address important diseases and establish new standards in targetability, precision, efficiency, and scope of editing capabilities. We are focused on </w:t>
      </w:r>
      <w:r>
        <w:rPr>
          <w:rFonts w:ascii="Times New Roman" w:hAnsi="Times New Roman"/>
          <w:i/>
          <w:color w:val="000000"/>
          <w:sz w:val="20"/>
        </w:rPr>
        <w:t xml:space="preserve">in vivo </w:t>
      </w:r>
      <w:r>
        <w:rPr>
          <w:rFonts w:ascii="Times New Roman" w:hAnsi="Times New Roman"/>
          <w:color w:val="000000"/>
          <w:sz w:val="20"/>
        </w:rPr>
        <w:t xml:space="preserve">gene editing for our wholly owned pipeline, while pursuing technology out-licensing for </w:t>
      </w:r>
      <w:r>
        <w:rPr>
          <w:rFonts w:ascii="Times New Roman" w:hAnsi="Times New Roman"/>
          <w:i/>
          <w:color w:val="000000"/>
          <w:sz w:val="20"/>
        </w:rPr>
        <w:t xml:space="preserve">ex vivo </w:t>
      </w:r>
      <w:r>
        <w:rPr>
          <w:rFonts w:ascii="Times New Roman" w:hAnsi="Times New Roman"/>
          <w:color w:val="000000"/>
          <w:sz w:val="20"/>
        </w:rPr>
        <w:t>cell therapy, where next generation genome editing systems are an important enabler of novel therapies. We believe our therapeutic programs are well-positioned to leverage the clinical, regulatory, and manufacturing advancements made to date across gene therapy, gene editing, and delivery modalities to accelerate progression to clinical trials and potential approval.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Wholly Owned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MGX-001 – novel, durable, knock-in approach for expression of Factor VIII (FVIII) in hemophilia 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investigational development program in hemophilia A, MGX-001, is a potentially curative therapy designed to provide life-long protection from bleeding events and joint damage in adults and children. Our approach is designed to insert a Factor VIII (“FVIII”) DNA cassette into a “safe harbor location” within an intron of the albumin gene, leveraging the strong native albumin promoter to express FVIII in an approach that is not expected to have deleterious effects. This unique design differentiates from gene therapies that deliver the FVIII gene in an episomal location thereby increasing the risk of dilution from cell division, cell death, and episomal transcriptional silencing. Our FVIII knock-in approach is designed to provide stable expression and clinically relevant circulating levels of FVIII, even at low integration rates because of the strength of the albumin promoter.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lead hemophilia A genome editing strategy has two components. A lipid nanoparticle (“LNP”) is designed to deliver mRNA along with a gRNA to the liver in order to produce a highly efficient and specific nuclease that creates a precise cut at the albumin safe harbor gene locus. Additionally, an adeno-associated virus (“AAV”) vector is designed to deliver the donor template FVIII DNA that becomes inserted into the nuclease cut site by a naturally occurring DNA repair process called non-homologous end joining.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 non-human primate (“NHP”) study, we demonstrated integration of a surrogate cynomolgus-FVIII cassette (used to avoid immune response that would occur with a foreign human FVIII protein) and confirmed durable and therapeutically relevant FVIII activity levels over an approximately nineteen-month period. Plasma FVIII activity levels correlated with gene integration frequency measured in the liver at termination. Treatment was generally well tolerated with findings limited to moderate transient elevation of liver transaminases following AAV and LNP administration. There were no notable findings in total bilirubin or albumin levels.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early NHP study was conducted without the benefit of several subsequent optimizations of the therapeutic candidate designed to enhance safety and efficacy in the clinic. Following our meeting with the FDA to align on key aspects of our planned IND submission, in August 2024, we nominated a lead development candidate, MGX-001. For the development candidate MGX-001, we selected a bioengineered B-domain deleted FVIII construct (a “bioengineered FVIII construct”).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rodent and nonhuman primate studies designed to support MGX-001, we demonstrated significantly higher FVIII activity levels using this bioengineered FVIII construct compared to wild type B-domain deleted FVIII construct, despite similar integration frequencies. These data suggested that incorporating the bioengineered FVIII construct into MGX-001 may enable therapeutic levels of FVIII activity at lower AAV doses, potentially resulting in MGX-001 having improved safety characteristics. Emerging data relating to MGX-001 from additional nonhuman primates using this bioengineered FVIII construct has, to date, demonstrated FVIII activity higher than expected. While we have not received all of the data from the studies, we expect to conduct additional studies and/or consider alternatives to this bioengineered FVIII construct. Based on the current information, we plan to conduct pre-IND and ex-U.S. regulatory meetings in the second half of 2025 and submit IND and clinical trial application (“CTA”) submission in 2026. For more information regarding the risks related to our IND submission and timelines, see “Risks Related to Business, Technology, and Industry” described in Part II, Item 1A, Risk Factors herein.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Secreted Protein Deficiencies</w:t>
      </w:r>
    </w:p>
    <w:p>
      <w:pPr>
        <w:pStyle w:val="TextBody"/>
        <w:bidi w:val="0"/>
        <w:spacing w:before="120" w:after="283"/>
        <w:jc w:val="left"/>
        <w:rPr>
          <w:rFonts w:ascii="Times New Roman" w:hAnsi="Times New Roman"/>
          <w:sz w:val="20"/>
        </w:rPr>
      </w:pPr>
      <w:r>
        <w:rPr>
          <w:rFonts w:ascii="Times New Roman" w:hAnsi="Times New Roman"/>
          <w:color w:val="000000"/>
          <w:sz w:val="20"/>
        </w:rPr>
        <w:t>Building on our lead hemophilia A program, we are advancing additional wholly owned therapeutic candidates targeting secreted protein deficiencies, leveraging the MGX-001</w:t>
      </w:r>
      <w:r>
        <w:rPr>
          <w:rFonts w:ascii="Times New Roman" w:hAnsi="Times New Roman"/>
          <w:color w:val="000000"/>
          <w:sz w:val="20"/>
          <w:u w:val="single"/>
        </w:rPr>
        <w:t xml:space="preserve"> </w:t>
      </w:r>
      <w:r>
        <w:rPr>
          <w:rFonts w:ascii="Times New Roman" w:hAnsi="Times New Roman"/>
          <w:color w:val="000000"/>
          <w:sz w:val="20"/>
        </w:rPr>
        <w:t>editing system as a blueprint, with the goal of achieving targeted and durable protein replacement. We plan to demonstrate NHP proof-of-concept for our lead secreted protein deficiency target in 2025, and nominate our development candidate in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Collaborations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Ionis Collaboration - investigational development programs focused on the cardiometabolic space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2022, we entered into a Collaboration and License Agreement with Ionis Pharmaceuticals, Inc. (“Ionis”) to research, develop and commercialize investigational medicines using our genome editing technologies. All four therapeutic targets in Wave 1 of our collaboration with Ionis focus on cardiometabolic diseases and are in lead optimization. </w:t>
      </w:r>
      <w:r>
        <w:rPr>
          <w:rFonts w:ascii="Times New Roman" w:hAnsi="Times New Roman"/>
          <w:i/>
          <w:color w:val="000000"/>
          <w:sz w:val="20"/>
        </w:rPr>
        <w:t>In vivo</w:t>
      </w:r>
      <w:r>
        <w:rPr>
          <w:rFonts w:ascii="Times New Roman" w:hAnsi="Times New Roman"/>
          <w:color w:val="000000"/>
          <w:sz w:val="20"/>
        </w:rPr>
        <w:t xml:space="preserve"> rodent proof-of-concept was achieved in all four wave 1 genetic targets in 2024, including transthyretin (“TTR”) for transthyretin amyloidosis and angiotensinogen (“AGT”) for refractory hypertension, as well as two undisclosed programs. In partnership with Ionis, we plan to nominate one to two development candidates from the Wave 1 targets and disclose the remaining two therapeutic indications in 2025. In 2026, we plan to initiate IND-enabling activities for the development candidates nominated in 2025, and nominate additional development candidates from the remaining Wave 1 targets.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Affini-T collaboration – enabling development programs in the cell therapy space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2022, we entered into a Development, Option and License Agreement (the “Affini-T Agreement”) with Affini-T Therapeutics, Inc. (“Affini-T”) to develop and commercialize gene edited TCR-based therapeutic products exclusively for the treatment, prevention or diagnosis of any human cancer using products with any engineered primary TCR alpha/beta T cells and non-exclusively for the treatment, prevention or diagnosis of any human cancer using products with certain other engineered immune cells worldwide. Our collaboration with Affini-T is consistent with our strategy for out-licensing our technology for ex vivo cell therapy applications where next generation genome editing systems are an important enabler of novel therapies. In 2024, we achieved a development milestone related to establishing cGMP gene editing reagents for cell therapy and filing related Drug Master Files with the FDA to support an IND for Affini-T’s T-cell receptor-based therapy. On April 14, 2025, Affini-T exercised an option to a non-exclusive license for one of its pre-specified targets triggering an exercise payment to us of $0.3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Further Areas of Therapeutic Activity and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Building on our experience delivering our nucleases to the liver via LNP systems, we are extending that experience with the goal to deliver novel RIGS to the liver to potentially correct ATP7B mutations in Wilson’s disease and PiZ mutations in alpha-1-antitrypsin deficiency (“A1AT deficiency”). Both of these liver diseases have well-defined biology, readily available translational biomarkers for early proof-of-concept, established development pathways based on prior drug approvals, and important unmet medical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parallel with our translation efforts in our lead programs focused on liver-associated targets, we are developing editing systems to allow gene editing beyond the liver. Using our small editing systems designed to be amenable to viral vector delivery, which includes novel type II and type V programmable nucleases, we intend to pursue extrahepatic indications in neuro-muscular and lung and kidney diseases.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Technology Platform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Generative AI and Structure-Guided Engineering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believe our metagenomics-based, AI-enhanced, discovery approach will allow us to achieve our goal of having highly effective genome editing tools to address any genetic disease by editing anywhere in the human genome. We have demonstrated how our metagenomics-informed </w:t>
      </w:r>
      <w:r>
        <w:rPr>
          <w:rFonts w:ascii="Times New Roman" w:hAnsi="Times New Roman"/>
          <w:i/>
          <w:color w:val="000000"/>
          <w:sz w:val="20"/>
        </w:rPr>
        <w:t>de novo</w:t>
      </w:r>
      <w:r>
        <w:rPr>
          <w:rFonts w:ascii="Times New Roman" w:hAnsi="Times New Roman"/>
          <w:color w:val="000000"/>
          <w:sz w:val="20"/>
        </w:rPr>
        <w:t xml:space="preserve"> sequence generation approach, which includes using ancestral sequence reconstruction and generative AI techniques, can be used together with structure-guided engineering methods to potentially expand therapeutic applications.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Nucleases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 date, we have identified thousands of novel CRISPR nucleases, expanding the collection of known programmable nucleases by mining our proprietary metagenomics database. This allows us to potentially select the ideal nuclease for targeting any given gene in a site-specific manner, overcoming a major limitation of first-generation CRISPR/Cas9 systems. We recently demonstrated technological advancements to address unmet needs for therapeutic applications of </w:t>
      </w:r>
      <w:r>
        <w:rPr>
          <w:rFonts w:ascii="Times New Roman" w:hAnsi="Times New Roman"/>
          <w:i/>
          <w:color w:val="000000"/>
          <w:sz w:val="20"/>
        </w:rPr>
        <w:t xml:space="preserve">in vivo </w:t>
      </w:r>
      <w:r>
        <w:rPr>
          <w:rFonts w:ascii="Times New Roman" w:hAnsi="Times New Roman"/>
          <w:color w:val="000000"/>
          <w:sz w:val="20"/>
        </w:rPr>
        <w:t xml:space="preserve">gene editing beyond the liver using our novel nucleases, including single-AAV delivery to a central nervous system (“CNS”) target, a key milestone towards addressing neurological disorders. We achieved </w:t>
      </w:r>
      <w:r>
        <w:rPr>
          <w:rFonts w:ascii="Times New Roman" w:hAnsi="Times New Roman"/>
          <w:i/>
          <w:color w:val="000000"/>
          <w:sz w:val="20"/>
        </w:rPr>
        <w:t>in vivo</w:t>
      </w:r>
      <w:r>
        <w:rPr>
          <w:rFonts w:ascii="Times New Roman" w:hAnsi="Times New Roman"/>
          <w:color w:val="000000"/>
          <w:sz w:val="20"/>
        </w:rPr>
        <w:t xml:space="preserve"> proof-of-concept for CNS editing with a single blood-brain-barrier penetrating AAV, which may enable treatments with systemic injections and provide a more tolerable treatment for patients. Furthermore, based on data generated to date, we believe our </w:t>
      </w:r>
      <w:r>
        <w:rPr>
          <w:rFonts w:ascii="Times New Roman" w:hAnsi="Times New Roman"/>
          <w:i/>
          <w:color w:val="000000"/>
          <w:sz w:val="20"/>
        </w:rPr>
        <w:t>SMall Arginine-Rich sysTems (</w:t>
      </w:r>
      <w:r>
        <w:rPr>
          <w:rFonts w:ascii="Times New Roman" w:hAnsi="Times New Roman"/>
          <w:color w:val="000000"/>
          <w:sz w:val="20"/>
        </w:rPr>
        <w:t>SMART) genome editing systems, which are small enough to be packaged into standard AAV vectors, even when additional effector domains are included for base editing, potentially enable a differentiated therapeutic approach for extrahepatic targets.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Base Editors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nucleases can be leveraged as a chassis by adding on additional effector enzymes to create base editors capable of single nucleotide changes in the genome. In October 2024, we demonstrated that our novel Adenine Base Editors (“ABEs”) are potentially targetable to over 95% of the human genome’s base pairs, a significantly wider range of sites than first-generation SpCas9 base editors. Our ABE platform achieved over 95% reproducible and durable triplex protein knockdown in primary T-cells, confirming its highly efficient application for multiplex gene editing. The ABE platform demonstrated highly specific on-target deamination with no detectable translocations and no significant genome composition differences, and the platform demonstrated no adverse effects on cell viability, expansion or other measures of cell health.</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RNA and DNA Mediated Integration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RIGS are genome editing systems that make programmable genomic modifications that are encoded in RNA templates. Because of the modifications are encoded in RNA, these systems have the ability to repair diverse mutations, including insertions, deletions and all types of point mutations. Using proprietary reverse transcriptases we demonstrated what we believe to be the first-ever targeted integration of &gt;900 bp in human cells with our RIGS using all-RNA delivery.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CRISPR Associated Transposase (CAST) systems are a class of genome editing systems that provide directed and programmable genomic integration of large DNA templates (&gt;10,000 base pairs). We recently achieved </w:t>
      </w:r>
      <w:r>
        <w:rPr>
          <w:rFonts w:ascii="Times New Roman" w:hAnsi="Times New Roman"/>
          <w:i/>
          <w:color w:val="000000"/>
          <w:sz w:val="20"/>
        </w:rPr>
        <w:t xml:space="preserve">in vitro </w:t>
      </w:r>
      <w:r>
        <w:rPr>
          <w:rFonts w:ascii="Times New Roman" w:hAnsi="Times New Roman"/>
          <w:color w:val="000000"/>
          <w:sz w:val="20"/>
        </w:rPr>
        <w:t xml:space="preserve">proof-of-concept for large gene integration using our potentially industry leading, compact CAST technology. In March 2025, we published our latest findings in </w:t>
      </w:r>
      <w:r>
        <w:rPr>
          <w:rFonts w:ascii="Times New Roman" w:hAnsi="Times New Roman"/>
          <w:i/>
          <w:color w:val="000000"/>
          <w:sz w:val="20"/>
        </w:rPr>
        <w:t xml:space="preserve">Nature Communications </w:t>
      </w:r>
      <w:r>
        <w:rPr>
          <w:rFonts w:ascii="Times New Roman" w:hAnsi="Times New Roman"/>
          <w:color w:val="000000"/>
          <w:sz w:val="20"/>
        </w:rPr>
        <w:t>describing our novel, compact CAST systems, which demonstrated integration of a large, therapeutically relevant gene into the genome of human cells.</w:t>
      </w:r>
    </w:p>
    <w:p>
      <w:pPr>
        <w:pStyle w:val="TextBody"/>
        <w:bidi w:val="0"/>
        <w:spacing w:before="240" w:after="283"/>
        <w:jc w:val="left"/>
        <w:rPr>
          <w:rFonts w:ascii="Times New Roman" w:hAnsi="Times New Roman"/>
          <w:sz w:val="20"/>
        </w:rPr>
      </w:pPr>
      <w:r>
        <w:rPr>
          <w:rFonts w:ascii="Times New Roman" w:hAnsi="Times New Roman"/>
          <w:b/>
          <w:i/>
          <w:color w:val="000000"/>
          <w:sz w:val="20"/>
        </w:rPr>
        <w:t>Initial Public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13, 2024, we completed our initial public offering (“IPO”) in which we issued 6,250,000 shares of our common stock at a price to the public of $15.00 per share. We received net proceeds of approximately $80.7 million, after deducting underwriting discounts and commissions and other offering costs totaling approximately $13.0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120" w:after="283"/>
        <w:jc w:val="left"/>
        <w:rPr>
          <w:rFonts w:ascii="Times New Roman" w:hAnsi="Times New Roman"/>
          <w:sz w:val="20"/>
        </w:rPr>
      </w:pPr>
      <w:r>
        <w:rPr>
          <w:rFonts w:ascii="Times New Roman" w:hAnsi="Times New Roman"/>
          <w:color w:val="000000"/>
          <w:sz w:val="20"/>
        </w:rPr>
        <w:t>On March 17, 2025, we entered into an Open Market Sale Agreement</w:t>
      </w:r>
      <w:r>
        <w:rPr>
          <w:rFonts w:ascii="Times New Roman" w:hAnsi="Times New Roman"/>
          <w:color w:val="000000"/>
          <w:sz w:val="13"/>
        </w:rPr>
        <w:t>SM</w:t>
      </w:r>
      <w:r>
        <w:rPr>
          <w:rFonts w:ascii="Times New Roman" w:hAnsi="Times New Roman"/>
          <w:color w:val="000000"/>
          <w:sz w:val="20"/>
        </w:rPr>
        <w:t xml:space="preserve"> (the “ATM Sales Agreement”) with Jefferies LLC (“Jefferies”), pursuant to which we may issue and sell, from time to time and at our sole discretion, shares of our common stock, through Jefferies as the sales agent, by any method permitted by law deemed to be an “at the market” (“ATM”) offering as defined in Rule 415(a)(4) promulgated under the Securities Act, having an aggregate offering price of up to $75.0 million. We will pay Jefferies a commission fee of up to 3.0% of the gross proceeds of any shares sold through Jefferies under the ATM Sales Agreement, and have also provided Jefferies with customary indemnification and contribution rights. As of March 31, 2025, no shares have been sold under the ATM Sales Agreement.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business planning, raising capital, research and development activities, building our intellectual property portfolio and providing general and administrative support for these operations. We have historically financed our operations primarily through issuing redeemable convertible preferred stock and convertible promissory notes, sales of our common stock and entering into collaboration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Macroeconomic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the economy in the United States (“U.S.”) and abroad may negatively affect the growth of our business and our results of operations. For example, macroeconomic events, including, inflationary pressures, interest rate and currency rate fluctuations, increased U.S. trade tariffs, reciprocal and retaliatory tariffs from other countries, and trade disputes with other countries, economic slowdown or recession, banking instability, monetary policy changes, geopolitical tensions or the outbreak of hostilities or war, including from the ongoing Russia-Ukraine conflict, the current conflict in Israel and Gaza (including any escalation or expansion) and increasing tensions between China and Taiwan, have led to economic uncertainty and volatility globally. The effect of macroeconomic conditions may not be fully reflected in our results of operations until future periods. To date, the macroeconomic trends discussed above have not had a material adverse impact on our business, financial condition or results of operations, but we continue to monitor these developments closely. If, however, economic uncertainty increases or the global economy worsens, our business, financial condition and results of operations may be harmed. For further discussion of the potential impacts of macroeconomic events on our business, financial condition, and operating results, refer to the section titled “Risk Factors”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Collaboration and License Agreements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part of our strategy, we have entered into collaborations with third parties for one or more of our programs or product candidates we may develop. For example, in June 2022, we entered into a Development, Option and License Agreement with Affini-T Therapeutics, Inc. to develop and commercialize gene edited T-cell receptor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and in November 2022, we entered into a Collaboration and License Agreement with Ionis to research, develop and commercialize investigational medicines using our genome editing technologies. In October 2021, we entered into a Strategic Collaboration and License Agreement (the “Moderna Agreement”) with ModernaTX, Inc. (“Moderna”), focused on advancing new genome editing system for </w:t>
      </w:r>
      <w:r>
        <w:rPr>
          <w:rFonts w:ascii="Times New Roman" w:hAnsi="Times New Roman"/>
          <w:i/>
          <w:color w:val="000000"/>
          <w:sz w:val="20"/>
        </w:rPr>
        <w:t>in vivo</w:t>
      </w:r>
      <w:r>
        <w:rPr>
          <w:rFonts w:ascii="Times New Roman" w:hAnsi="Times New Roman"/>
          <w:color w:val="000000"/>
          <w:sz w:val="20"/>
        </w:rPr>
        <w:t xml:space="preserve"> human therapeutic applications, and in April 2024, we and Moderna mutually terminated the Moderna Agreement. Refer to Note 7 in our condensed financial statements included elsewhere in this Quarterly Report on Form 10-Q for additional information related to the terms of the agreements between us and our collaborators.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revenue from product sales and do not expect to generate any revenue from the sale of products for the foreseeable future. Our ability to generate product revenues will depend on the successful development and eventual commercialization of any product candidates that we identify. If we fail to complete the development of any future product candidates in a timely manner or to obtain regulatory approval for such product candidates, our ability to generate future revenue and our results of operations and financial position would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all of our revenue consists of collaboration revenue, earned from collaboration agreements with Moderna (prior to the termination of the Moderna Agreement), Ionis and Affini-T. These agreements may include the following types of promised goods or services: (i) grants of licenses; (ii) performance of research and development services and (iii) participation on joint research and/or development committees. They also may include options to obtain licenses to our intellectual property or to extend the term of the research activities. Our revenues under such collaboration agreements were $4.1 million for the three months ended March 31, 2025 and $11.2 million for the three months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information about our revenue recognition policy related to our collaboration agreements, refer to Note 2 in our consolidated financial statements included in Part II, Item 8 of our Annual Report on Form 10-K for the year ended December 31, 2024.</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largest component of our total operating expenses since our inception has been research and development activities. Research and development expenses consist primarily of personnel costs for research and development employees, including stock-based compensation; the costs of acquiring research and development supplies and services; manufacturing process development costs; the research and development expenses that we share with our collaboration partners for co-development programs; other outside services and consulting costs; and allocated facilities, information technology and overhead expenses. Research and development costs are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reported program costs since our inception because we have not historically tracked or recorded our research and development expenses on a program-by-program basis. We use our personnel and infrastructure resources across the breadth of our research and development activities, which are directed toward developing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research and development expenses to increase substantially for the foreseeable future as we continue to invest in research and development activities related to developing our platform, including investments in manufacturing, as we advance our programs and conduct clinical trials. The process of conducting the necessary clinical research to obtain regulatory approval is costly and time-consuming, and the successful development of our platform is highly uncertain. As a result, we are unable to determine the duration and completion costs of our research and development projects, the costs of related clinical development costs or when and to what extent we will generate revenue from the commercialization of our platform.</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 costs, including stock-based compensation expense, and other expenses for outside professional services, including legal fees relating to intellectual property and corporate matters; professional fees for accounting, auditing, consulting and tax services; insurance costs; administrative travel expenses; website development costs; marketing and public relations costs; and facilities, information technology and other allocated overhead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increase in the future as we increase our headcount to support development of our platform and our continued research activities. We also anticipate that we will incur increased accounting, audit, legal, regulatory, compliance and director and officer insurance costs as well as investor and public relations expenses associated with being a public company. We also expect our intellectual property expenses to increase as we expand our intellectual property portfolio.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Total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includes interest income from our investments in available-for-sale marketable securities and changes in the fair value of our investments in Affini-T.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Comparison of the Three Months Ended March 31, 2025 and 2024</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summarizes our results of operations for the periods indicated (in thousands):</w:t>
      </w:r>
    </w:p>
    <w:tbl>
      <w:tblPr>
        <w:tblW w:w="7643" w:type="dxa"/>
        <w:jc w:val="left"/>
        <w:tblInd w:w="0" w:type="dxa"/>
        <w:tblLayout w:type="fixed"/>
        <w:tblCellMar>
          <w:top w:w="28" w:type="dxa"/>
          <w:left w:w="28" w:type="dxa"/>
          <w:bottom w:w="28" w:type="dxa"/>
          <w:right w:w="28" w:type="dxa"/>
        </w:tblCellMar>
      </w:tblPr>
      <w:tblGrid>
        <w:gridCol w:w="3526"/>
        <w:gridCol w:w="146"/>
        <w:gridCol w:w="211"/>
        <w:gridCol w:w="736"/>
        <w:gridCol w:w="166"/>
        <w:gridCol w:w="146"/>
        <w:gridCol w:w="211"/>
        <w:gridCol w:w="736"/>
        <w:gridCol w:w="166"/>
        <w:gridCol w:w="146"/>
        <w:gridCol w:w="211"/>
        <w:gridCol w:w="631"/>
        <w:gridCol w:w="6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Collaboration Revenue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Collaboration revenue included the following for the periods indicated (in thousands):</w:t>
      </w:r>
    </w:p>
    <w:tbl>
      <w:tblPr>
        <w:tblW w:w="6238" w:type="dxa"/>
        <w:jc w:val="left"/>
        <w:tblInd w:w="0" w:type="dxa"/>
        <w:tblLayout w:type="fixed"/>
        <w:tblCellMar>
          <w:top w:w="28" w:type="dxa"/>
          <w:left w:w="28" w:type="dxa"/>
          <w:bottom w:w="28" w:type="dxa"/>
          <w:right w:w="28" w:type="dxa"/>
        </w:tblCellMar>
      </w:tblPr>
      <w:tblGrid>
        <w:gridCol w:w="2586"/>
        <w:gridCol w:w="146"/>
        <w:gridCol w:w="211"/>
        <w:gridCol w:w="571"/>
        <w:gridCol w:w="146"/>
        <w:gridCol w:w="146"/>
        <w:gridCol w:w="211"/>
        <w:gridCol w:w="676"/>
        <w:gridCol w:w="146"/>
        <w:gridCol w:w="146"/>
        <w:gridCol w:w="211"/>
        <w:gridCol w:w="631"/>
        <w:gridCol w:w="4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Ionis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Moderna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Affini-T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231F20"/>
          <w:sz w:val="20"/>
        </w:rPr>
        <w:t xml:space="preserve">Collaboration revenue decreased by $7.0 million, from $11.2 million for the three months ended March 31, 2024 to $4.1 million for the three months ended March 31, 2025. The decrease in collaboration revenue for the three months ended March 31, 2025, was primarily driven by a $2.8 million decrease in revenue related to the Moderna Agreement due to the recognition of all remaining deferred revenue during the year ended December 31, 2024 as a result of the </w:t>
      </w:r>
      <w:r>
        <w:rPr>
          <w:rFonts w:ascii="Times New Roman" w:hAnsi="Times New Roman"/>
          <w:color w:val="000000"/>
          <w:sz w:val="20"/>
        </w:rPr>
        <w:t>Termination Agreement, a</w:t>
      </w:r>
      <w:r>
        <w:rPr>
          <w:rFonts w:ascii="Times New Roman" w:hAnsi="Times New Roman"/>
          <w:color w:val="231F20"/>
          <w:sz w:val="20"/>
        </w:rPr>
        <w:t xml:space="preserve"> $4.1 million decrease in revenue related to the Ionis Agreement and a $0.1 million decrease in revenue related to the Affini-T Agreement.</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Research and Development Expenses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summarizes our research and development expenses for the periods indicated (in thousands):</w:t>
      </w:r>
    </w:p>
    <w:tbl>
      <w:tblPr>
        <w:tblW w:w="7823" w:type="dxa"/>
        <w:jc w:val="left"/>
        <w:tblInd w:w="0" w:type="dxa"/>
        <w:tblLayout w:type="fixed"/>
        <w:tblCellMar>
          <w:top w:w="28" w:type="dxa"/>
          <w:left w:w="28" w:type="dxa"/>
          <w:bottom w:w="28" w:type="dxa"/>
          <w:right w:w="28" w:type="dxa"/>
        </w:tblCellMar>
      </w:tblPr>
      <w:tblGrid>
        <w:gridCol w:w="4066"/>
        <w:gridCol w:w="146"/>
        <w:gridCol w:w="211"/>
        <w:gridCol w:w="676"/>
        <w:gridCol w:w="146"/>
        <w:gridCol w:w="146"/>
        <w:gridCol w:w="211"/>
        <w:gridCol w:w="676"/>
        <w:gridCol w:w="146"/>
        <w:gridCol w:w="146"/>
        <w:gridCol w:w="211"/>
        <w:gridCol w:w="631"/>
        <w:gridCol w:w="4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overhead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 and 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supplies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$25.1 million for the three months ended March 31, 2025, compared to $31.4 million for the three months ended March 31, 2024. The decrease of $6.3 million was primarily due to a decrease of $2.7 million in stock-based compensation expense, a decrease of $2.3 million in research and development supplies and services, and a decrease of $1.3 million in other employee-related expenses.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$6.8 million for the three months ended March 31, 2025, compared to $8.8 million for the three months ended March 31, 2024. The decrease of $1.9 million was primarily related to a decrease of $1.3 million in professional services and consulting costs, a decrease of $0.7 million in other employee-related expenses, and a decrease of $0.5 million in facilities and allocated overhead, offset by an increase of $0.6 million in stock-based compensation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Total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was $2.9 million for the three months ended March 31, 2025 compared to $3.9 million for the three months ended March 31, 2024. The $1.0 million decrease is primarily due to decreased interest income.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historically funded our operations primarily through sales of our redeemable convertible preferred units and convertible promissory notes, which generated approximately $351.7 million in aggregate gross proceeds, in addition to net proceeds of approximately $80.7 million received in February 2024 upon the closing of our IPO. Additionally, through March 31, 2025, we received approximately $120.0 million upfront cash payments from collaboration and licensing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17, 2025, we entered into the ATM Sales Agreement with Jefferies, pursuant to which we may issue and sell shares of our common stock from time to time and at our sole discretion, through Jefferies as our sales agent, by any method permitted that is deemed to be an “at the market offering” as defined in Rule 415(a)(4) promulgated under the Securities Act having an aggregate offering price of up to $75.0 million. As of March 31, 2025, we have not sold any shares under the ATM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revenue to date has been generated from collaboration agreements. We will not generate revenue from product sales unless and until we successfully initiate and complete clinical development and obtain regulatory approval for one or more product candidates. If we obtain regulatory approval for any product candidate and do not enter into a commercialization partnership, we expect to incur significant expenses related to developing our commercialization capability to support product sales, manufacturing, marketing, and distribution. 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with third parties.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our platform or delay our pursuit of potential in-licenses or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operating losses since inception and we expect to continue to incur substantial losses for the foreseeable future. Our net losses were $78.1 million and $68.3 million for the years ended December 31, 2024 and 2023, respectively, and $25.0 million and $25.1 million for the three months ended March 31, 2025 and 2024, respectively. As of March 31, 2025, we had an accumulated deficit of $248.0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short and long-term expenses to increase substantially in connection with our ongoing activities, particularly as we advance our portfolio towards candidate nomination and preclinical trials. In addition, we expect to incur additional costs associated with operating as a public company. 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research and development,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scope and duration of clinical trials required for regulatory approval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any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manufacturing clinical and commercial supplies of our future product candidates, including internal manufacturing facilities and contracting with other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future product candidates for which we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filing and prosecuting our patent applications, and maintaining and enforcing our patents and other intellectual property rights;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acquire or in-license product candidates, intellectual property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liability or other lawsuits related to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implementation of various computerized informational systems and efforts to enhance operational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to attract, hire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additional costs of legal, audit, accounting, compliance, insurance, investor relations and other expenses related to operating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health epidemics, pandemics and other widespread outbreaks of contagious disease, as well as other factors, including inflation, economic uncertainty and geopolitical tensions, which may exacerbate the magnitude of the factors discussed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we had $226.0 million in cash, cash equivalents and available-for-sale marketable securities. Based on our current operating plan, we estimate that our existing cash, cash equivalents and available-for-sale marketable securities will be sufficient to fund our projected operating expenses and capital expenditure requirements for at least the next 12 months from the date of issuance of this Quarterly Report on Form 10-Q. We have based this estimate on assumptions that may prove to be wrong, and we could exhaust our available capital resources sooner than we expect. See “Liquidity and Capital Resources” and “Risk Factors—Risks Related To Our Financial Position and Need for Additional Capital.” We expect that we will require additional funding to: continue our current research development activities; develop, maintain, expand and protect our intellectual property portfolio; further develop our platform; and hire additional research, clinical and scientific personnel. If we receive regulatory approval for any of our product candidates, we expect to incur significant commercialization expenses related to product manufacturing, sales, marketing and distribution, depending on where we choose to commercialize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short and long-term cash needs through a combination of equity offerings, debt financings, collaborations, strategic alliances, and marketing, distribution or licensing arrangements with third parties. To the extent that we raise additional capital through the sale of equity or convertible debt securities, ownership interest for existing investors may be materially diluted, and the terms of such securities could include liquidation or other preferences that adversely affect existing investors’ rights as a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sources and uses of cash for the periods presented (in thousands):</w:t>
      </w:r>
    </w:p>
    <w:tbl>
      <w:tblPr>
        <w:tblW w:w="8129"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736"/>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i/>
          <w:color w:val="231F20"/>
          <w:sz w:val="20"/>
        </w:rPr>
      </w:pPr>
      <w:r>
        <w:rPr>
          <w:rFonts w:ascii="Times New Roman" w:hAnsi="Times New Roman"/>
          <w:i/>
          <w:color w:val="231F20"/>
          <w:sz w:val="20"/>
        </w:rPr>
        <w:t>Cash Flows from Operating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Net cash used in operating activities was $22.8 million for the three months ended March 31, 2025, and consisted primarily of our net loss of $25.0 million and changes in our net operating assets and liabilities of $2.3 million, offset by net non-cash charges of $4.5 million. The net change in operating assets and liabilities consisted primarily of a decrease of $3.0 million in deferred revenue as we recognized revenue under our collaboration agreements, a decrease of $2.6 million in accrued expenses and other current liabilities, a decrease of $1.4 million in operating lease liabilities and a decrease of $2.2 million in prepaid expenses and other current assets, offset by an increase of $2.2 million in accounts payable due to the timing of payments to our vendors. The net non-cash charges consisted primarily of $2.9 million in stock-based compensation expense, $1.4 million of depreciation expense, $1.3 million in non-cash lease expense, partially offset by $1.0 million in accretion of discounts on available-for-sale marketable securities and $0.1 million in amortization of non-cash collaboration revenue related to the Affini-T Agreement.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Net cash used in operating activities for the three months ended March 31, 2024, was $29.9 million and consisted primarily of our net loss of $25.1 million and changes in our net operating assets and liabilities of $10.9 million, partially offset by net non-cash charges of $6.2 million. The changes in our net operating assets and liabilities consisted primarily of a decrease of $10.4 million in deferred revenue as we recognized revenue under our collaboration agreements, a $3.0 million decrease in accrued expenses and other liabilities primarily related to payout of the 2024 annual bonus, and a $0.9 million increase in prepaid expenses and other assets, offset by an increase of $3.2 million in accounts payable due to the timing of payments to our vendors. The net non-cash charges consisted primarily of $5.1 million in stock-based compensation expense, $1.1 million in non-cash lease expense and $1.3 million of depreciation expense, partially offset by $1.2 million in amortization of discounts on available-for-sale marketable securities.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Cash Flows from Investing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Net cash provided by investing activities for the three months ended March 31, 2025, was $24.7 million primarily due to net maturities of available-for-sale marketable securities of $25.0 million, partially offset purchases of property and equipment of $0.3 million.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Net cash used in investing activities for the three months ended March 31, 2024, was $94.7 million due to net purchases of available-for-sale marketable securities of $93.8 million and purchases of property and equipment of $0.9 million.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Cash Flows from Financing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Net cash used in financing activities for the three months ended March 31, 2025, was $0.1 million due to a payment of deferred financing costs.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Net cash provided by financing activities for the three months ended March 31, 2024, was $86.5 million due to net proceeds from the issuance of our common stock in our IPO, net of issuance costs paid during the period.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material cash requirements include our contractual obligations for our leased office and laboratory space under three lease agreements and one vivarium lease agreement. During the three months ended March 31, 2025, there were no material changes outside the ordinary course of our business to our material cash requirements described under “Management’s Discussion and Analysis of Financial Condition and Results of Operations” included in our Annual Report on Form 10-K for the year ended December 31, 2024, filed with the SEC on March 17, 2025.</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Recently Issued Accounting Pronouncements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description of recently issued accounting pronouncements that may potentially impact our financial position, results of operations or cash flows is disclosed in Note 2 to our condensed financial statements included elsewhere in this Quarterly Report on Form 10-Q.</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Critical Accounting Policies and Significant Judgments and Estimates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Our management’s discussion and analysis of our financial condition and results of operations is based on our financial statements, which have been prepared in accordance with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the </w:t>
      </w:r>
      <w:r>
        <w:rPr>
          <w:rFonts w:ascii="Times New Roman" w:hAnsi="Times New Roman"/>
          <w:color w:val="000000"/>
          <w:sz w:val="20"/>
        </w:rPr>
        <w:t xml:space="preserve">reported revenue generated and expenses </w:t>
      </w:r>
      <w:r>
        <w:rPr>
          <w:rFonts w:ascii="Times New Roman" w:hAnsi="Times New Roman"/>
          <w:color w:val="231F20"/>
          <w:sz w:val="20"/>
        </w:rPr>
        <w:t>incurred during the reporting periods.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On an ongoing basis, we evaluate our estimates and judgments, including but not limited to those related to revenue recognition under our collaboration agreements, stock-based compensation expense, the valuation of deferred tax assets, and uncertain income tax positions.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w:t>
      </w:r>
      <w:r>
        <w:rPr>
          <w:rFonts w:ascii="Times New Roman" w:hAnsi="Times New Roman"/>
          <w:color w:val="000000"/>
          <w:sz w:val="20"/>
        </w:rPr>
        <w:t xml:space="preserve">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2025, there were no material changes to our critical accounting estimates or in the methodology used for estimates from those described in “Management’s Discussion and Analysis of Financial Condition and Results of Operations” included in our Annual Report on Form 10-K for the year ended December 31, 2024.</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principal executive officer and our principal financial officer, carried out an evaluation of the effectiveness of the design and operation of our disclosure controls and procedures, as defined by Rule 13a-15(e) and Rule 15d-15(e) under the Exchange Act, as of the end of the period covered by this Quarterly Report on Form 10-Q. 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Based on the foregoing, our principal executive officer and principal financial officer concluded that our disclosure controls and procedures were effective as of the end of the period covered by this Quarterly Report on Form 10-Q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quarter ended March 31, 2025, that have materially affected, or are reasonably likely to materially affect, our internal control over financial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a party to litigation or subject to claims incident to the ordinary course of business. Although the results of litigation and claims cannot be predicted with certainty, we currently believe that the final outcome of these ordinary course matters will not have a material adverse effect on our business. Regardless of the outcome, litigation can have an adverse impact on us because of defense and settlement costs, diversion of management resources and other factors. For information regarding legal proceedings, refer to “Note 8. Commitments and Contingencies – Legal contingencies” in the accompanying “Notes to Condensed Financial Statements (unaudited)” in Item 1 of this Quarterly Report on Form 10-Q which information is incorporated by reference herein.</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and uncertainties described below together with all of the other information contained in this Quarterly Report on Form 10-Q, including our condensed financial statements and related notes appearing at the end of this Quarterly Report on Form 10-Q, before deciding to invest in our common stock.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pStyle w:val="TextBody"/>
        <w:bidi w:val="0"/>
        <w:spacing w:before="240" w:after="283"/>
        <w:jc w:val="center"/>
        <w:rPr>
          <w:rFonts w:ascii="Times New Roman" w:hAnsi="Times New Roman"/>
          <w:sz w:val="20"/>
        </w:rPr>
      </w:pPr>
      <w:r>
        <w:rPr>
          <w:rFonts w:ascii="Times New Roman" w:hAnsi="Times New Roman"/>
          <w:b/>
          <w:color w:val="000000"/>
          <w:sz w:val="20"/>
        </w:rPr>
        <w:t>SUMMARY OF MATERIAL RISKS ASSOCIATED WITH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numerous risks and uncertainties that you should be aware of in evaluating our business.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losses since inception. We expect to incur losses for the foreseeable future and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will require substantial additional funding. If we are unable to raise additional capital when needed on acceptable terms, or at all, we may be forced to delay, reduce, or terminate certain of our research and product development programs, future commercialization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very early in our development efforts, and we have not yet initiated IND-enabling studies or clinical development of any product candidate. As a result, we expect it will be many years before we commercialize any product candidate, if ever. If we are unable to advance our future product candidates into and through clinical trials, obtain regulatory approval and ultimately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additional development challenges and risks due to the novel nature of our genome editing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genome editing field is relatively new and is evolving rapidly. We are focusing our research and development efforts on genome editing using programmable nucleases, base editing, and RNA and DNA-mediated integration systems (including prime editors and CRISPR-associated (“Cas”) transposases), but other genome editing technologies may be discovered that provide significant advantages over such technologies, which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intend to seek designations for our potential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potential product candidates are granted such designations, we may not be able to realize the intended benefits of such designations.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developing product candidates in the field of genetic medicines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conflicts arise between us and our collaborators or strategic partners, these parties may act in a manner adverse to us and could limit our ability to implement our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collaborations, and may enter into additional collaborations, with third parties for the research, development, manufacture and commercialization of programs or product candidates. If these collaborations are not successful, our business could be adversely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to ours and our ability to successfully develop and commercialize our genome editing systems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difficult and costly to protect our intellectual property and our proprietary technologies, and we may not be able to ensure their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cyber-attacks and data privacy breaches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in this section titled “Risk Factors” in Part II, Item 1A. and the other information set forth in this Quarterly Report on Form 10-Q, as well as in other documents that we file with the U.S. Securities and Exchange Commission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Financial Position and Need for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significant losses since inception. We expect to incur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incurred significant operating losses. Our net loss was $78.1 million and $68.3 million for the years ended December 31, 2024 and 2023, respectively, and for the three months ended March 31, 2025 and 2024, our net losses were $25.0 million and $25.1 million, respectively. As of March 31, 2025, we had an accumulated deficit of $248.0 million. We have financed our operations primarily through issuing redeemable convertible preferred units and convertible promissory notes, entering into collaboration agreements, and through the IPO proceeds. Substantially all of our losses have resulted from expenses incurred in connection with our research and development and from general and administrative costs associated with our operations. We expect to continue to incur significant expenses and increasing operating losses for the foreseeable future. The net losses we incur may fluctuate significantly from quarter to quarter. 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current research activities and further develop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preclinical development and initiate clinical trials for any product candidates we may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for any product candidates for which we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our manufacturing capabilities, including internal manufacturing facilities and contracting with other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ultimately, commercialize our future product candidates requiring significant marketing, sales, and distribution infrastructure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research and development, clinical, commercial, general and administration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expand, protect, and enforce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product candidates, intellectual property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confirm, maintain or obtain freedom to operate for any of our owned or licensed technologies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legal, audit, accounting, compliance, insurance, investor relations and other expenses related to operating as a public company that we did not incur as a private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will need substantial additional funding to support our continuing operations and pursue our growth strategy. Our Shelf Registration Statement was declared effective on March 25, 2025, and permits us to sell from time to time up to $250.0 million of shares of our common stock and other securities in one or more offerings in amounts, at prices, and on the terms that we will determine at the time of any such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Shelf Registration Statement, we entered into the ATM Sales Agreement, pursuant to which we may issue and sell, from time to time and at our sole discretion, shares of the Company’s common stock, through Jefferies as sales agent, in ATM offerings, having an aggregate offering price of up to $75.0 million. As of March 31, 2025, we have not sold any shares of our common stock pursuant to the ATM Sales Agreement.</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our platform or delay our pursuit of potential in-licenses or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initiated clinical development of any potential product candidate and expect that it will be many years, if ever, before we have a product candidate ready for commercialization. To become and remain profitable, we must develop and, either directly or through collaborators, eventually commercialize a therapy or therapies with market potential. This will require us to be successful in a range of challenging activities, including identifying product candidates, completing preclinical studies and clinical trials of product candidates, obtaining regulatory approval for these product candidates, manufacturing, marketing and selling those therapies for which we may obtain regulatory approval and satisfying any post-marketing requirements. We may never succeed in these activities and, even if we do, may never generate revenues that are significant or large enough to achieve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developing our technology and any potential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never generated revenue from product sales and may never become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may not generate revenues from product sales for many years, if ever. Our ability to generate future revenues from product sales depends heavily on our or our collaborators’ ability to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product candidates and successfully complete research development of any product candidates we may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and obtain regulatory approvals for any product candidates for which we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 and commercialize any product candidates for which we may obtain regulatory approval by establishing a sales force, marketing and distribution infrastructure, or alternatively, collaborating with a commercialization partner;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qualify for adequate coverage and reimbursement by government and third-party payors for any product candidates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supply and manufacturing relationships with third parties that can provide adequate, in both amount and quality, products and services to support clinical development and the market demand for any product candidates for which we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and enhance a sustainable, scalable, reproducible and transferable manufacturing process for the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negotiate favorable terms in any collaboration, licensing or other arrangements into which we may enter and performing our obligations in such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market acceptance by physicians, patients, healthcare payors, and others in the medical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enforce, defend and expand our portfolio of intellectual property and other proprietary rights,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defend against third-party intellectual property claims of infringement, misappropriation or other violation;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expenses could increase beyond expectations if we are required by the U.S. Food and Drug Administration (the “FDA”) or other regulatory authorities to perform preclinical studies or clinical trials in addition to those that we currently anticipate. Even if one or more of the product candidates we may develop are approved for commercial sale, we anticipate incurring significant costs associated with commercializing any approved product candidate. Additionally, such products may become subject to unfavorable pricing regulations, third-party reimbursement practices or healthcare reform initiatives. Even if we are able to generate revenues from the sale of any approved product candidates, we may not become profitable and may need to obtain additional funding to continue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will require substantial additional funding. If we are unable to raise additional capital when needed on acceptable terms, or at all, we may be forced to delay, reduce, or terminate certain of our research and product development programs, future commercialization efforts or other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genome editing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identify, continue the research and development of, initiate and conduct clinical trials of, and seek regulatory approval for, any product candidates we may identify. In addition, if we obtain regulatory approval for any product candidates we may identify, we expect to incur significant commercialization expenses related to product sales, marketing, manufacturing, and distribution to the extent that such sales, marketing, manufacturing, and distribution are not the responsibility of a collaborator. Other unanticipated costs may also arise. Furthermore, we expect to continue incurring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our research and product development programs, future commercialization efforts or other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our cash, cash equivalents and available-for-sale marketable securities were $226.0 million. We expect that our existing cash, cash equivalents, and available-for-sale marketable securities, will enable us to fund our operating expenses and capital expenditure requirements for at least the next 12 months from the date of issuance of this Quarterly Report on Form 10-Q. However, our operating plan may change as a result of factors currently unknown to us, and we may need to seek funding sooner than planned. 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research and development,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scope and duration of clinical trials required for regulatory approval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any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manufacturing clinical and commercial supplies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future product candidates for which we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our patent applications, maintaining and enforcing our patents and other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 and license agreements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liability or other lawsuits related to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implementation of various computerized informational systems and efforts to enhance operational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to attract, hire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epidemics or outbreaks of a contagious illness, economic uncertainty, tariffs and other trade disputes and geopolitical tensions, which may exacerbate the magnitude of the factors discussed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future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Adequate additional financing may not be available to us on acceptable terms, or at all.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additional fundraising efforts may divert our management from their day-to-day activities, which may adversely affect our ability to develop and commercialize our product candidates. We have no committed sources of additional capital and, if we are unable to raise additional capital in sufficient amounts or on terms acceptable to us, we may have to significantly delay, scale back or discontinue the development or commercialization of our future product candidates or other research and development initiatives. Without sufficient funding, our license agreements and any future collaboration agreements may also be terminated if we are unable to meet the payment or other obligations under such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Additionally, if we raise funds through additional collaborations, strategic alliances, or licensing arrangements with third parties, we may have to relinquish valuable rights to our technologies, future revenue streams, research programs, or product candidates we develop, or we may have to grant licenses on terms that may not be favorable to us and/or that may reduce the value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short operating history may make it difficult for you to evaluate the success of our business to date and to assess our future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early-stage company. We commenced our operations in September 2018. Our operations to date have been limited to organizing and staffing our company, business planning, raising capital, and research and development activities such as acquiring and developing our platform and technology and identifying and beginning to advance preclinical testing of potential product candidates. All of our programs are still in the research or lead optimization stage of development and their risk of failure is high. We have not yet demonstrated an ability to initiate or successfully complete any clinical trials, including large-scale, pivotal clinical trials, obtain regulatory approvals, manufacture a commercial-scale therapy, arrange for a third party to do so on our behalf or conduct sales and marketing activities necessary for successful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limited operating history, particularly in light of the rapidly evolving genome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very early stage companies in rapidly evolving fields. If we do not address these risks successfully, our business will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a new business that is rapidly growing, we may encounter other unforeseen expenses, difficulties, complications, and delays in our product development. We will need to transition from a company with a research focus to a company capable of conducting clinical trials and ultimately supporting commercial activities if any of our future product candidates are approved. We may not be successful in such a transition.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future ability to utilize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losses and we may never achieve profitability. As of December 31, 2024, we had U.S. federal net operating loss carryforwards of $45.6 million (which are not subject to expiration) and state net operating loss carryforwards of $118.3 million (which begin to expire in various amounts in 2037), and $4.5 million of research credit carryforwards for state income tax purposes (which do not expire and can be carried forward indefinitely). To the extent that we continue to generate taxable losses, under current law, our unused U.S. federal net operating losses (“NOLs”) may be carried forward to offset a portion of future taxable income, if any.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Internal Revenue Code of 1986, as amended (the “Code”), if a corporation undergoes an “ownership change,” generally defined as one or more shareholders or groups of shareholders who own at least 5 percent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We may experience ownership changes in the future,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Additional limitations on our ability to utilize our NOLs to offset future taxable income may arise as a result of our corporate structure whereby NOLs generated by our subsidiary may not be available to offset taxable income earned by our subsidiary.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For these reasons, we may not be able to realize a tax benefit from the use of our NOLs or tax credits, even if we attain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may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and our financial condition. In recent years, many such changes have been made and changes are likely to continue to occur in the future.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Business, Technology, and Industry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very early in our development efforts, and we have not yet initiated IND-enabling studies or clinical development of any product candidate. As a result, we expect it will be many years before we commercialize any product candidate, if ever. If we are unable to advance our future product candidates into and through clinical trials, obtain regulatory approval and ultimately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very early in our development efforts and have focused our research and development efforts to date on research efforts including preclinical studies. Currently, all of our programs are still in the research or lead optimization stage of development. Our ability to generate product revenues, which we do not expect will occur for many years, if ever, will depend heavily on the successful development, regulatory approval and eventual commercialization of our future product candidates, which may never occur. We have not yet generated revenue from product sales, and we may never be able to develop or commercialize a marketable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Commencing clinical trials in the United States is subject to acceptance by the FDA of an investigational new drug (“IND”) application and finalizing the trial design based on discussions with the FDA. In the event that the FDA requires us to complete additional preclinical studies or we are required to satisfy other FDA requests prior to commencing clinical trials, the start of our first clinical trials may be delayed or we may be unsuccessful obtaining clearance to proceed into clinical development. Even after we receive and incorporate guidance from the FDA, the FDA could 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abandon our clinical development plans or meet stricter approval conditions than we currently expect. For example, emerging data relating to our hemophilia A development candidate, MGX-001, from our nonhuman primate studies using our bioengineered B-domain deleted FVIII construct has, to date, demonstrated both high activity as well as high variability related to FVIII. While we have not received all of the data from the studies, we expect to conduct additional studies and/or consider alternatives to this bioengineered FVIII construct. While we are planning to achieve our IND submission timelines, the need to conduct additional studies and/or consider alternatives to bioengineered FVIII, the risks described above relating to the FDA submission process, coupled with the uncertain regulatory environment in the Unites States, could delay our current expected IND submission timelines.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equivalent processes and risks applicable to clinical trial applications in other countries, including countries in the European Union. In addition, clinical trials conducted in one country may not be accepted by regulatory authorities in other countries, and regulatory approval in one country does not guarantee regulatory approval in any other country. We may conduct one or more of our clinical trials with one or more trial sites that are located outside the United States. Although the FDA may accept data from clinical trials conducted outside the United States, acceptance of these data is subject to conditions imposed by the FDA, and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Commercialization of any product candidates we may develop will require preclinical and clinical development; regulatory approval in multiple jurisdictions; manufacturing supply, capacity and expertise; a commercial organization; and significant marketing efforts. The success of product candidates we may identify and develop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successful completion of preclinical studies, including toxicology studies, biodistribution studies and minimally efficacious dose studies in animals, where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INDs or comparable foreign applications that allow commencement of our planned clinical trials or future clinical trials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and completion of clinical trials, including under the FDA’s current Good Clinical Practices (“GCPs”), current Good Laboratory Practices (“GLPs”), and any additional regulatory requirements from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results from our future clinical trials that support a finding of safety and effectiveness and an acceptable risk-benefit profile in the intended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arrangements through our own facilities or with third-party manufacturers for clinical supply and, where applicable, commercial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maintenance, defense and enforcement of patent, trademark, trade secret and other intellectual property protection or regulatory exclusivity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launch of any product candidates we may develop,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benefits and use of our product candidates we may develop, including method of administration, if and when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competition with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of a continued acceptable safety, tolerability and efficacy profile of any product candidates we may develop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and maintenance of healthcare coverage and adequate reimbursement by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succeed in one or more of these factors in a timely manner or at all, we could experience significant delays or an inability to successfully commercialize any product candidates we may develop,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additional development challenges and risks due to the novel nature of our genome editing technology.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Because our </w:t>
      </w:r>
      <w:r>
        <w:rPr>
          <w:rFonts w:ascii="Times New Roman" w:hAnsi="Times New Roman"/>
          <w:i/>
          <w:color w:val="000000"/>
          <w:sz w:val="20"/>
        </w:rPr>
        <w:t xml:space="preserve">in vivo </w:t>
      </w:r>
      <w:r>
        <w:rPr>
          <w:rFonts w:ascii="Times New Roman" w:hAnsi="Times New Roman"/>
          <w:color w:val="000000"/>
          <w:sz w:val="20"/>
        </w:rPr>
        <w:t>technology potentially involves genome editing across multiple cell and tissue types, we are subject to many of the challenges and risks that other genome editing therapeutics and gene therapies face,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guidance regarding the requirements governing gene and genome editing therapy product candidates have changed and may continue to change in the future;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to date, only a limited number of products that involve </w:t>
      </w:r>
      <w:r>
        <w:rPr>
          <w:rFonts w:ascii="Times New Roman" w:hAnsi="Times New Roman"/>
          <w:i/>
          <w:color w:val="000000"/>
          <w:sz w:val="20"/>
        </w:rPr>
        <w:t xml:space="preserve">in vivo </w:t>
      </w:r>
      <w:r>
        <w:rPr>
          <w:rFonts w:ascii="Times New Roman" w:hAnsi="Times New Roman"/>
          <w:color w:val="000000"/>
          <w:sz w:val="20"/>
        </w:rPr>
        <w:t>gene transfer have been approved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improper modulation of a gene sequence, including unintended editing events or insertion of a sequence into certain locations in a patient’s chromosome, could lead to cancer, other aberrantly functioning cells or other diseases, including death;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corrective expression of a missing protein in patients’ cells could result in the protein being recognized as foreign, and lead to a sustained immunological reaction against the expressed protein or expressing cells, which could be severe or life-threatening; and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agencies may require extended follow-up observation periods of patients who receive treatment using genome editing product candidates including, for example, the FDA’s recommended 15-year follow-up observation period for these patients, and we will need to adopt such observation periods for product candidates we develop if required by the relevant regulatory agency, which could vary by country or region.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Furthermore, our technology has potential application for </w:t>
      </w:r>
      <w:r>
        <w:rPr>
          <w:rFonts w:ascii="Times New Roman" w:hAnsi="Times New Roman"/>
          <w:i/>
          <w:color w:val="000000"/>
          <w:sz w:val="20"/>
        </w:rPr>
        <w:t xml:space="preserve">ex vivo </w:t>
      </w:r>
      <w:r>
        <w:rPr>
          <w:rFonts w:ascii="Times New Roman" w:hAnsi="Times New Roman"/>
          <w:color w:val="000000"/>
          <w:sz w:val="20"/>
        </w:rPr>
        <w:t xml:space="preserve">immune cell editing strategies. Because </w:t>
      </w:r>
      <w:r>
        <w:rPr>
          <w:rFonts w:ascii="Times New Roman" w:hAnsi="Times New Roman"/>
          <w:i/>
          <w:color w:val="000000"/>
          <w:sz w:val="20"/>
        </w:rPr>
        <w:t xml:space="preserve">ex vivo </w:t>
      </w:r>
      <w:r>
        <w:rPr>
          <w:rFonts w:ascii="Times New Roman" w:hAnsi="Times New Roman"/>
          <w:color w:val="000000"/>
          <w:sz w:val="20"/>
        </w:rPr>
        <w:t>application of our technology potentially involves editing human cells and then delivering modified cells to patients, we may be subject to many of the challenges and risks that engineered cell therapies face. For example, clinical trials using engineered cell-based gene therapies may require unique products to be created for each patient and such individualistic manufacturing may be both inefficient and cost-prohibitive.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drug development involves a lengthy and expensive process, with an uncertain outcome. Because genome editing is relatively novel and the regulatory landscape that will govern our potential product candidates is uncertain and may change, we cannot predict the time and cost of obtaining regulatory approval, if we receive it at all, for our potential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required to obtain approval for any of our potential product candidates from the FDA, the European Commission (“EC”) or other comparable foreign regulatory authorities is unpredictable but typically takes many years following the commencement of clinical trials and depends upon numerous factors, including the substantial discretion of regulatory authorities. For more information on the regulatory approval process, see “Business—Government Regulation” in our Annual Report on Form 10-K for the fiscal year ended December 31, 2024.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Clinical trials may fail to demonstrate that our product candidates are safe for humans and effective for indicated uses. Even if initial clinical trials in any of any product candidates we may develop are successful, such product candidates may fail to show the desired safety and efficacy in later stages of clinical development despite having successfully advanced through preclinical studies and initial clinical trials. 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genome editing is relatively novel, the regulatory requirements that will govern any novel genome editing product candidates we develop may continue to evolve. Only one genome editing therapy, CASGEVY, has received marketing authorization from the FDA and EC to date and, within the broader genetic therapy field, a limited number of gene therapy products have received marketing authorization from the FDA and the EC. Even with respect to more established products that fit into the categories of gene therapies or cell therapies, the regulatory landscape is still developing. Regulatory requirements governing gene therapy products and cell therapy products have changed frequently and may continue to change in the future. For example, in January 2020, the FDA issued several new guidance documents on gene therapy products, and in January 2024, the FDA published a final guidance document providing recommendations for human genome editing gene therapy products. Moreover, there is substantial, and sometimes uncoordinated, overlap in those responsible for regulation of existing gene therapy products and cell therapy products. For example, in the United States, the FDA has established the Office of Therapeutic Products (“OTP”) within its Center for Biologics Evaluation and Research (“CBER”) to consolidate the review of gene therapy and related products, and the Cellular, Tissue and Gene Therapies Advisory Committee to advise CBER on its review. Gene therapy clinical trials may also be subject to review and oversight by an institutional biosafety committee (“IBC”), a local institutional committee that reviews and oversees certain basic and clinical research conducted at the institution participating in the clinical trial. Although the FDA decides whether individual gene therapy protocols may proceed, the review process and determinations of other reviewing bodies, such as an IBC or institutional review board (“IRB”), can impede or delay the initiation of a clinical trial, even if the FDA has reviewed the trial and approved its initiation. For example, more recently, some genome editing companies have seen significant delays in receiving FDA authorization to allow the initiation of their clinical trials, and has suspended ongoing trials, due to the FDA’s placement of clinical holds on their INDs.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same applies in the European Union. The European Medicines Agency’s (“EMA”) Committee for Advanced Therapies (“CAT”) is responsible for assessing the quality, safety and efficacy of advanced-therapy medicinal products (i.e. gene therapy, somatic-cell therapy or tissue-engineered medicines). The role of the CAT is to prepare a draft opinion on an application for marketing authorization for a gene therapy medicinal candidate that is submitted to the Committee for Medicinal Products for Human Use (“CHMP”) before the CHMP adopts its opinion which is submitted to the EC for the final decision on whether to grant a marketing authorization or not. In the European Union, the EMA publishes guidelines for the development and evaluation of gene therapy medicinal products to assist in preparing marketing authorization applications, however these are continually under review. The EMA may issue new guidelines concerning the development and marketing authorization for gene therapy medicinal products and require that we comply with these new guidelines.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developments in post-marketing experience or in clinical trials conducted by others of gene therapy products, cell therapy products or products developed through the application of genome editing technology may cause the FDA, the EMA and other regulatory bodies to revise the requirements for development or approval of our potential product candidates or limit the use of products utilizing genome editing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genome editing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regulatory review committees and advisory groups described above and any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genome editing field is relatively new and is evolving rapidly. We are focusing our research and development efforts on genome editing using programmable nucleases, base editing, and RNA and DNA-mediated integration systems (including prime editors and CRISPR-associated (“Cas”) transposases), but other genome editing technologies may be discovered that provide significant advantages over such technologies, which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focused our efforts on genome editing technologies using programmable nucleases, base editing, and RNA and DNA-mediated integration systems (including prime editors and Cas transposases backed by our metagenomics database). Other companies have previously undertaken research and development of genome editing technologies using zinc finger nucleases, engineered meganucleases and transcription activator-like effector nucleases, but to date none have obtained regulatory approval for a product candidate. There can be no certainty that genome editing technology will lead to the development of genetic medicines or that other genome editing technologies will not be considered better or more attractive for the development of medicines. A number of alternative approaches are being developed by others. Our investments may not be consistent with the expectations of our stockholders and may not produce the benefits that we expect, in which case our growth, business, financial condition, and results of operations could be adversely affected. See “Risk Factors—Risks Related to Business, Technology and Industry—We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 Similarly, another new genome editing technology that has not been discovered yet may be more attractive than programmable nucleases, base editing, and RNA and DNA-mediated integration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decide to develop genome editing technologies other than those involving such technologies, we cannot be certain we will be able to obtain rights to such technologies. Any of these factors could reduce or eliminate our commercial opportunity, and could have a material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any of the product candidates we may develop or the delivery modes we rely on cause undesirable side effects, it could delay or prevent their development or potential regulatory approval, limit the commercial potential or result in significant negative consequences following any potential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evaluated any product candidates in human clinical trials. It is impossible to predict when or if any product candidates we may develop will ultimately prove safe in humans. In the genomic medicine field, there have been several significant adverse events from gene therapy treatments in the past, including reported cases of leukemia and death. Product candidates we may develop may be associated with undesirable side effects, unexpected characteristics or other serious adverse events, including off-target cuts of DNA, or the introduction of cuts in DNA at locations other than the target sequence. These off-target cuts could lead to disruption of a gene or a genetic regulatory sequence at an unintended site in the DNA, or, in those instances where we also provide a segment of DNA to serve as a repair template, it is possible that following off-target cut events, DNA from such repair template could be integrated into the genome at an unintended site, potentially disrupting another important gene or genomic element. There is also the potential risk of delayed adverse events following exposure to genome editing therapy due to persistent biologic activity of the genetic material or other components of products used to carry the genetic material. Possible adverse side effects that could occur with treatment with genome editing products include an immunologic reaction after administration which could substantially limit the effectiveness of the treatment If any of our genome editing technologies demonstrate a similar effect, we may decide or be required to halt or delay preclinical development or clinical development of any product candidates we may develop. In addition to serious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or side effects caused by any product candidate we may develop, the administration process or related procedures also can cause undesirable side effects. If any such events occur, our preclinical studies or clinical trials could be delayed, suspended or terminated. There can be no assurance that our genome editing technologies will not cause severe or undesirable side effects.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in the future we are unable to demonstrate that such adverse events were caused by factors other than our product candidate, the FDA, the EMA or other comparable foreign regulatory authorities could order us to cease further clinical studies of, or deny approval of, any product candidates we develop for any or all targeted indications. Even if we are able to demonstrate that all future serious adverse events are not product-related, such occurrences could affect patient recruitment or the ability of enrolled patients to complete the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Viral vectors, including the adeno-associated virus (“AAV”), which are relatively new approaches used for disease treatment, also have known side effects, and for which additional risks could develop in the future. In past clinical trials that were conducted by others with non-AAV vectors, significant side effects were caused by gene therapy treatments, including reported cases of myelodysplasia,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cancer. If the vectors we use demonstrate a similar side effect, or other adverse events, we may be required to halt or delay further clinical development of any potential product candidates. Such delayed adverse events may also occur in other viral vectors, including AAV vectors.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side effects and adverse events caused by our product candidates, the conditioning, administration process or related procedures which may be used to condition a patient for gene therapy treatment also can cause adverse side effects and adverse events. A gene therapy patient is generally administered cytotoxic drugs to remove stem cells from the bone marrow to create sufficient space in the bone marrow for the modified stem cells to engraft and produce new cells. This procedure compromises the patient’s immune system, and conditioning regimens have been associated with adverse events in clinical trial participants.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we successfully develop a product candidate and it receives regulatory approval, the FDA could require us to adopt a Risk Evaluation and Mitigation Strategy (“REMS”) to ensure that the benefits of treatment with such product candidate outweighs the risks for each potential patient, which may include, among other things, a medication guide outlining the risks of the product for distribution to patients, a communication plan to healthcare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may develop that receives regulatory approval, several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revoke licenses or suspend, vary or withdraw approvals of such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a product candidate is administered or conduct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our genome editing technology and any product candidates we may identify and develop and could have a material adverse effect on our business, financial condition, results of operations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Positive results from early preclinical studies of any product candidates we may develop may not necessarily be predictive of the results of later preclinical studies and any future clinical trials of such product candidates. If we cannot replicate the positive results from our earlier preclinical studies of any product candidates we may develop in our later preclinical studies and future clinical trials, we may be unable to successfully develop, obtain regulatory approval for and commercialize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positive results from our preclinical studies of any product candidates we may develop may not necessarily be predictive of the results from later preclinical studies and clinical trials of such product candidates. Similarly, even if we are able to complete our planned preclinical studies or any future clinical trials of any product candidates we may develop according to our current development timeline, the positive results from such preclinical studies and clinical trials of our product candidates may not be replicated in subsequent preclinical studies or clinical trial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also consider additional delivery modes, which may carry additional known and unknown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consider additional delivery modes, which may carry additional known and unknown risks. For example, we intend to use lipid nanoparticles (“LNPs”) to deliver our nucleases. While LNPs have been used to deliver smaller molecules, such as small interfering RNA (“siRNA”), they have not been clinically proven to deliver large RNA molecules. Furthermore, as with many AAV-mediated gene therapy approaches, certain patients’ immune systems might prohibit the successful delivery, thereby potentially limiting treatment outcomes of these patients. Even if initial clinical trials in any of our potential product candidates we may develop are successful, these product candidates we may develop may fail to show the desired safety and efficacy in later stages of clinical development despite having successfully advanced through preclinical studies and initial clinical trials.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find it difficult to enroll patients in our future clinical trials given the limited number of patients who have the diseases any product candidates we identify or develop are intended to target. If we experience delays or difficulties in the enrollment of patients in clinical trials, our clinical development activities and our receipt of necessary regulatory approvals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progress our programs, we may not be able to initiate or continue clinical trials for any product candidates we identify or develop if we are unable to locate and enroll a sufficient number of eligible patients to participate in these trials as required by the FDA, the EMA or other comparable regulatory authorities outside the United States, or as needed to provide appropriate statistical power for a given trial. Enrollment may be particularly challenging for some of the rare genetically defined diseases we are targeting in some of our discovery programs. In addition, if patients are unwilling to participate in our genome editing trials because of negative publicity from adverse events related to the biotechnology, gene therapy or genome editing fields, competitive clinical trials for similar patient populations, clinical trials in competing product candidates or for other reasons, the timeline for recruiting patients, conducting studies and obtaining regulatory approval of our potential product candidates may be delayed. Moreover, some of our competitors may have ongoing clinical trials for product candidates that would treat the same indications as our potential product candidates, and patients who would otherwise be eligible for our future clinical trials may instead enroll in clinical trials of our competitors’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enrollment is also affected by other factors, some of which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of the patient population and process for identifying patients, including proximity and availability of clinical trial sites for prospective patients with conditions that have small patient pools;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trial protocol, including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efficacy of approved medications for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genetic testing for potential patients and ability to monitor patients adequately during and after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obtain and maintain patient informed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that enrolled patients will drop out before completion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and exclusion criteria for the trial in question;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the product candidate under trial and genome editing as a therapeutic approach;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ability to successfully initiate, enroll and complete a clinical trial in any foreign country is subject to numerous risks unique to conducting business in foreign countries, some of which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establishing or managing relationships with clinical research organizations (“CROs”) and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standards for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standard-of-care for patients with a particular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locating qualified local consultants, physicians and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burden of complying with a variety of foreign laws, medical standards and regulatory requirements, including the regulation of pharmaceutical and biotechnology products and treatment and of genome editing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Enrollment delays in our future clinical trials may result in increased development costs for our potential product candidates, which would cause the value of our company to decline and limit our ability to obtain additional financing. If we or our collaborators have difficulty enrolling a sufficient number of patients to conduct our future clinical trials as planned, we may need to delay, limit or terminate ongoing or planned clinical trials or entire clinical programs, any of which would have an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Genetic therapies are novel, and any product candidates we develop may be complex and difficult to manufacture. We could experience delays in satisfying regulatory authorities or production problems that result in delays in our development programs, limit the supply of the product candidates we may develop or otherwise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IND filings. If we successfully develop product candidates, we may encounter problems achieving adequate quantities and quality of clinical-grade materials that meet the FDA, the EMA or other comparable applicable foreign standards or specifications with consistent and acceptable production yields and costs. For example, the current approach of manufacturing AAV vectors may fall short of supplying required number of doses needed for advanced stages of preclinical studies or clinical trials, and the FDA may ask us to demonstrate that we have the appropriate manufacturing processes in place to support the higher-dose group in our preclinical studies or clinical trials. In addition, any product candidates we may develop will require complicated delivery methods, each of which will introduce additional complexities in the manufacturing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drug products is highly competitive. Moreover, the genome editing field is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or other intellectual property protection and establish collaborative arrangements for research, development, manufacturing and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while others are based on entirely different approaches.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Amongst publicly traded peers, there are several companies utilizing CRISPR/Cas technology, including Caribou Biosciences, Inc., Editas Medicine, Inc., CRISPR Therapeutics AG and Intellia Therapeutics, Inc. Several additional companies such as Sangamo Therapeutics, Inc., Precision BioSciences, Inc., bluebird bio, Inc., and Cellectis Inc. utilize alternative nuclease-based genome editing technologies, including zinc finger nucleases (“ZFNs”), engineered meganucleases and transcription-activator like effector nucleases (“TALENs”). Beam Therapeutics utilizes base editing technology. Prime Medicine utilizes prime editing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other private companies such as Tessera Therapeutics, Inc. and Tome Biosciences, Inc. have announced their work in recombinase DNA and RNA gene writers, although little is known publicly about their science or portfolio. Most recently, new epigenetic editing companies have emerged, such as Chroma Medicine, Inc. and Tune Therapeutics, Inc. In addition, we face competition from companies utilizing gene therapy, oligonucleotides and cell therapy therapeutic approaches.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Several private companies such as Arbor Biotechnologies, Inc., nChroma Bio, Scribe Therapeutics Inc., and Mammoth Biosciences, Inc. are actively searching for novel genome editing components and have reported the discovery of new DNA-cutting enzymes. Other companies are active in LNP delivery technologies and advancing those into therapeutics using genetic therapies, including Recode Therapeutics, Inc., Verve Therapeutics, Inc., Generation Bio Co. and Beam Therapeutics,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product candidates that we successfully develop and commercialize will compete with existing therapies and new therapies that may become available in the future that are approved to treat the same diseases for which we may obtain approval for any product candidates we may develop. This may include other types of therapies, such as small molecule, antibody and/or protein therapies. For example, valoctocogene roxaparvovec, the first hemophilia A gene therapy, was conditionally approved for use in Europe in August 2022 and was approved in the United States in June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current or potential competitors, either alone or with their collaboration partners, may have significantly greater financial resources and expertise in research and development, manufacturing, conducting preclinical studies and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a result of the expiration or successful challenge of our patent or other intellectual property rights, we could face risks relating to our ability to successfully prevent or delay launch of competitors’ products. The availability of our competitors’ products could limit the demand and the price we are able to charge for any product candidates that we may develop and commercialize.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Adverse public perception of genome editing and cellular therapy products may negatively impact demand for, or regulatory approval of, any product candidates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candidates we may develop will involve editing the human genome. The clinical and commercial success of any product candidates we may develop will depend in part on public acceptance of the use of genome editing therapies for the prevention or treatment of human diseases. Public attitudes may be influenced by claims that genome editing is unsafe, unethical, or immoral, and, consequently, our products may not gain the acceptance of the public or the medical community. Negative public reaction to gene therapy in general could result in greater government regulation and stricter labeling requirements of genome editing products, including any of our product candidates, and could cause a decrease in the demand for any products we may develop. Adverse public attitudes may adversely impact our ability to enroll clinical trials. Additionally, ethical, social and legal concerns about genome editing and gene therapy could result in additional regulations restricting or prohibiting any product candidates we may develop.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commercial success of any of the product candidates we may develop will depend upon the degree of market acceptance by physicians, patients, third-party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the requisite approvals from the FDA in the United States, the EC in the European Union and other regulatory authorities internationally, the commercial success of any product candidates we may develop will depend, in part, on the acceptance of physicians, patients and health care payors of genome editing and gene therapy products in general, and our product candidates in particular, as medically necessary, cost-effective and safe. Any product that we commercialize may not gain acceptance by physicians, patients, health care payors and others in the medical community who may opt for existing treatments with which they are already familiar and for which greater clinical data may be available. The degree of market acceptance of genome editing and gene therapy products and, in particular, any product candidates we may develop, if approved for commercial sale, will depend on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durability and safety of such product candidates as demonstrated in any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such product candidates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 by the FDA, the EC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awareness of, and willingness to seek, genotyping;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physicians to prescribe new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of the FDA, the EMA or other regulatory authorities, including any limitations or warnings contained in a product’s approved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publicity concerning our products or competing products and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sufficient third-party payor coverage and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a potential product displays a favorable efficacy and safety profile in preclinical studies and future clinical trials, market acceptance of the product will not be fully known until after it is launched. If any product candidates we may develop do not achieve an adequate level of acceptance following regulatory approval, if ever, we may not generate significant product revenue and may not become profitable.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financial and managerial resources.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in the future, we are unable to establish sales and marketing capabilities or enter into agreements with third parties to sell and market products based on our technologies, we may not be successful in commercializing our future product candidates if and when any such product candidates are approved and we may not be able to generate any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 sales or marketing infrastructure and, as a company, have no experience in the sale, marketing or distribution of therapeutic products. To achieve commercial success for any potential approved product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product candidates if and when they are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Factors that may inhibit our efforts to commercialize our product candidates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recruit, train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sales personnel to obtain access to physicians or persuade adequate numbers of physicians to prescribe any future product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treatments to be offered by sales personnel, which may put us at a competitive disadvantage relative to companies with more extensive product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Further, our business, results of operations, financial condition and prospects will be materially adversely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Due to the novel nature of our technology and the potential for any product candidates we may develop to offer therapeutic benefit in a single administration or limited number of administrations, we face uncertainty related to pricing and reimbursement for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candidate to patients) is also important. Inadequate reimbursement for such services may lead to physician and payor resistance and adversely affect our ability to market or sell our product candidates.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the cost of a single administration of a genome editing therapy,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of our product candidates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of our product candidates. Even if coverage is provided, the approved reimbursement amount may not be adequate to realize a sufficient return on 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no uniform policy exists for coverage and reimbursement for products among third-party payors. Therefore, decisions regarding the extent of coverage and amount of reimbursement to be provided can differ significantly from payor to payor. The process for determining whether a payor will provide coverage for a product may be separate from the process for setting the reimbursement rate a payor will pay for the product. One third-party payor’s decision to cover a particular product or service does not ensure that other payors will also provide coverage for the medical product or service. Third-party payors may limit coverage to specific products on an approved list or formulary, which may not include all FDA-approved products for a particular indication.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third-party payors are increasingly challenging the price and examining the medical necessity and cost-effectiveness of medical products and services, in addition to their safety and efficacy. In order to secure coverage and reimbursement for any product that might be approved for sale, we may need to conduct expensive pharmacoeconomic studies in order to demonstrate the medical necessity and cost-effectiveness of any product candidates we may develop, in addition to the costs required to obtain FDA or comparable regulatory approvals. Additionally, we may also need to provide discounts to purchasers, private health plans or government healthcare programs. Despite our best efforts, any product candidates we may develop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 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United States and prices generally tend to be significantly lower.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not able to establish collaborations on a timely basis, on commercially reasonable terms, or at all, we may have to alter, reduce or delay our development and commercialization plans, or increase our expenditures to fund development or commercialization activities at our own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some of the product candidates we may develop, we may decide to collaborate with other pharmaceutical and biotechnology companies for the development and potential commercialization of those product candidates. We face significant competition in seeking appropriate collaborations and collaborations are complex and time-consuming to negotiate and document.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restricted under existing collaboration agreements from entering into future collaboration agreements on certain terms with potential collaborators. In addition, there have been a significant number of recent business combinations among large pharmaceutical companies that have resulted in a reduced number of potential future collaborators, which further increases competition we face in seeking potential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geopolitical tensions and in the global financial markets. A severe or prolonged economic downturn or additional global financial and political crises could result in a variety of risks to our business, including weakened demand for any product candidates we develop or our ability to raise additional capital when needed on acceptable terms, if at all. A weak or declining economy could also strain our suppliers or other third parties and create import and export issues,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future geopolitical landscape also remains particularly uncertain with the change in presidential administration. Any resulting changes in international trade relations, legislation and regulations, including those related to trade tariffs, taxation, and importation, or economic and monetary policies, or heightened diplomatic tensions or political and civil unrest, among other potential impacts, could adversely impact the global economy and our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risks related to health epidemics, pandemics and other widespread outbreaks of contagious disease, which could significantly disrupt our operations, impact our financial results or otherwise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outbreaks of contagious diseases and other adverse public health developments could have a material impact on our business operations and operating results. For example, the spread of COVID-19 has affected segments of the global economy and our operations. As a result of similar public health crises that may arise, we may experience disruptions that could adversely impact our operations, research and development, and as we continue developing, any preclinical studies, clinical trials and manufacturing activities we may conduct, some of which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disruptions in research programs, preclinical studies, clinical trials or IND-enabling studies that we or our collaborators may conduct;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or delays in the operations of the FDA, the EMA and comparable foreign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or delays in receiving and distributing, supplies of drug substance and drug product from our contract manufacturing organizations (“CMOs”), to preclinical or clinical research sites or delays or disruptions in any preclinical studies or clinical trials performed by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imposed on our business operations by local, state or federal authorities to address a pandemic or similar public health crises;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disruptions caused by potential workplace, laboratory and office closures and an increased reliance on employees working from home, disruptions to or delays in ongoing laboratory experiments and operations, staffing shortages, travel limitations, and cybersecurity and data accessibility or security issues.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trading prices for biopharmaceutical companies have been highly volatile as a result of the COVID-19 pandemic and we may face similar volatility in our stock price in the future. If we or any of the third parties with whom we engage were to experience additional shutdowns or other business disruptions as a result of future health epidemics, pandemics and other widespread outbreaks of contagious disease, our ability to conduct our business in the manner and on the timelines presently planned could be materially and negatively affected, which could have a material adverse impact on our business, financial condition, our results of operations and prospects. Furthermore, public health crises could exacerbate the other risks described in this section.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are vulnerable to interruption by disasters, terrorist activity, pandemics and other events beyond our control,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facilities are located in California. We have not undertaken a systematic analysis of the potential consequences to our business and financial results from a major flood, power loss, terrorist activity, pandemics or other regional or global disasters and generally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use artificial intelligence in our business, and challenges with properly managing its use, as well as uncertainty regarding the legal landscape surrounding the use of AI could result in reputational harm, competitive harm, and legal liability, and adversely affect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incorporate artificial intelligence (“AI”) solutions into our platform, and these applications may become important in our operations over time. There are significant risks involved in utilizing AI and no assurance can be provided that the usage of such AI will enhance our business or assist our business in being more efficient or profitable. If we enable or offer solutions that draw controversy due to perceived or actual negative societal impact, we may experience brand or reputational harm, competitive harm or legal liability. Known risks of AI currently include inaccuracy, bias, toxicity, intellectual property infringement or misappropriation, data privacy and cybersecurity and data provenance. In addition, AI may have errors or inadequacies that are not easily detectable. AI may also be subject to data herding and interconnectedness (i.e., multiple market participants utilizing the same data), which may adversely impact our business. If the data used to train AI or the content, analyses, or recommendations that AI applications assist in producing are or are alleged to be deficient, inaccurate, incomplete, overbroad or biased, our business, financial condition, and results of operations may be adversely affected. The legal landscape and subsequent legal protection for the use of AI remains uncertain, and development of the law in this area could impact our ability to enforce our proprietary rights or 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 the world’s first comprehensive AI law — which has entered into force on August 1, 2024 and most provisions of which will become effective on August 2, 2026.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Likewise, in the U.S., a number of states have proposed and passed laws regulating various uses of AI, and federal regulators have issued guidance affecting the use of AI in regulated sectors.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in the absence of dedicated AI laws and regulations, we may be subject to novel legal and business risks relating to our adoption of these new technologies. Our vendors may in turn incorporate AI tools into their own offerings, and the providers of these AI tools may not meet existing or rapidly evolving regulatory or industry standards, including with respect to privacy and data security. Bad actors around the world use increasingly sophisticated methods, including the use of AI, to engage in illegal activities involving the theft and misuse of personal information, confidential information, and intellectual property. Our use of AI applications may also, in the future, result in cybersecurity incidents that implicate the personal information of customers or patients. Any such cybersecurity incidents related to our use of AI applications could adversely affect our reputation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Regulatory, Legal, and Clinical Trials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While we intend to seek designations for our potential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potential product candidates are granted such designations, we may not be able to realize the intended benefits of such designations.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there can be no assurance that we will successfully obtain such designations for any potential product candidates. In addition, while such designations could expedite the development or approval process, they generally do not change the standards for approval. Even if we obtain such designations for one or more of our potential product candidates, there can be no assurance that we will realize their intended benefits. For example, we may seek fast track designation for some of our potential product candidates. If a therapy is intended for the treatment of a serious or life threatening condition and the therapy nonclinical or clinical data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Additionally, we may seek 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breakthrough therapy designation for some of our potential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accelerated approval. Designation as a breakthrough therapy is within the discretion of the FDA. Accordingly, even if we believe one of our potential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potential product candidates qualify as breakthrough therapies, the FDA may later decide that such product candidates no longer meet the conditions for qualification. In addition, we may seek a regenerative medicine advanced therapy (“RMAT”) designation for some of our potential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biologics license application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trials,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potential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potential product candidates qualify as for RMAT designation, the FDA may later decide that the biological products no longer meet the conditions for qualification. We may also seek rare pediatric disease designation for some of our potential product candidates. The FDA defines “rare pediatric disease” as a (i) serious or life-threatening disease in which the serious or life-threatening manifestations primarily affect individuals aged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(“PRV”) at the time the application is approved. Under the U.S. Federal Food, Drug, and Cosmetic Act (“FDCA”), we will need to request a rare pediatric disease PRV in our original marketing application for any potential product candidates for which we have received rare pediatric disease designation. However, the FDA’s rare pediatric disease priority voucher program began to sunset on December 20, 2024, on failure to pass a continuing resolution package that included its reauthorization. Under the amended statutory sunset provisions, after December 20, 2024, the FDA may award a PRV for an approved rare pediatric disease product application only if the sponsor has rare pediatric disease designation for the drug and if that designation was granted by December 20, 2024. After September 30, 2026, the FDA may not award any rare pediatric disease PRVs. Congress may vote to reauthorize this program, but its future remains unknown at this time. Further, even if Congress were to reauthorize this program, the FDA may determine that a marketing application for any such product candidates, if approved, does not meet the eligibility criteria for a PRV.</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also seek approval of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or on a clinical endpoint that can be measured earlier than irreversible morbidity or mortality (“IMM”) that is reasonably likely to predict an effect on IMM or other clinical benefit. The FDA considers a clinical benefit to be a positive therapeutic effect that is clinically meaningful in the context of a given disease, such as IMM.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There can be no assurance that the FDA would allow any of the product candidates we may develop to proceed on an accelerated approval pathway, and even if the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the product candidates that we may develop.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the European Union, we may seek to participate in the PRIority MEdicines (“PRIME”) scheme for our potential product candidates. The PRIME scheme is intended to encourage development of products in areas of unmet medical need and provides accelerated assessment of products representing substantial innovation, where the marketing authorization application will be made through the centralized procedure in the European Union. Products from small-and medium-sized enterprises may qualify for earlier entry into the PRIME scheme than larger companies on the basis of compelling non-clinical data and tolerability data from initial clinical trials. Eligible products must target conditions for which there is an unmet medical need (no treatment option exists in the European Union or, they can offer a major therapeutic advantage over existing treatments).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There is no guarantee, however, that our potential product candidates would be deemed eligible for the PRIME scheme and even if we do participate in the PRIME scheme, where during the course of development a product no longer meets the eligibility criteria, support under the PRIME scheme may be withdrawn. PRIME eligibility does not change the standards for product approval, and there is no assurance that any such designation or eligibility will result in expedited review or approval.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and other reform legislation may increase the difficulty and cost for us and any collaborators we may have to obtain regulatory approval of and commercialize any product candidates we may develop and affect the prices we, or they, may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ongoing efforts to implement legislative and regulatory changes regarding the healthcare system. Such changes could prevent or delay regulatory approval of any product candidates that we may develop, restrict or regulate post-approval activities and affect our ability to profitably sell any product candidates for which we obtain regulatory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Within the United States, the federal government and individual states have aggressively pursued healthcare reform, as evidenced by the passing of the Affordable Care Act, as amended by the Health Care and Education Reconciliation Act of 2010 (collectively, the “ACA”), and the ongoing efforts to modify or repeal that legislation. The ACA significantly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under the former Trump administration and additional modifications or repeal may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also been executive, judicial, and congressional challenges to certain aspects of the ACA. It is unclear how other healthcare reform measures of the presidential administration or other efforts, if any, to challenge, repeal or replace the ACA will impact our business. There is no assurance that federal or state healthcare reform will not adversely affect our future business and financial results, and we cannot predict how future federal or state legislative, judicial or administrative changes relating to healthcare reform will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For example, the American Rescue Plan Act of 2021 eliminated the statutory Medicaid drug rebate cap, previously set at 100 percent of a drug’s average manufacturer price, for single source and innovator multiple source drugs, beginning January 1, 2024. The U.S. Budget Control Act of 2011 and subsequent legislation, among other things, included aggregate reductions of Medicare payments to providers of 2% per fiscal year, which remain in effect through 2032. The American Taxpayer Relief Act of 2012 further reduced Medicare payments to several providers, including hospitals, imaging centers and cancer treatment centers, and increased the statute of limitations period for the government to recover overpayments to providers from three to five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there has been increasing legislative and enforcement interest in the United States with respect to drug pricing practices, which has resulted in several U.S. Congressional inquiries and federal and state legislation designed to, among other things, bring more transparency to drug pricing, reduce the cost of prescription drugs, and review the relationship between pricing and manufacturer patient programs. The Inflation Reduction Act of 2022 (the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effects of the IRA on our business and the healthcare industry in general is not yet known.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our product candidates, if we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set a price that we believe is fair for our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and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we are developing product candidates in the field of genetic medicines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proceed into clinical development of any product candidates we identify, we will need to submit INDs or clinical trial applications to regulatory authorities and obtain regulatory clearance to commence clinical development. Because the product candidates we identify are based on novel gene-editing technology, we may be unsuccessful in obtaining clearance from regulatory authorities to proceed into clinical development. In order to commence clinical development, we will need to identify success criteria and endpoints such that the FDA, the EMA or other regulatory authorities will be able to determine the clinical efficacy and safety profile of any product candidates we may develop. As we are initially seeking to identify and develop product candidates to treat diseases in which there is little clinical experience using new technologies, and while we may have opportunities to discuss our clinical development plans with regulatory authorities prior to commencing clinical development,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This may be a particularly significant risk for many of the genetically defined diseases for which we plan to develop product candidates because many of these diseases such as Primary Hyperoxaluria Type 1 have small patient populations, and designing and executing a rigorous clinical trial with appropriate statistical power is more difficult than with diseases that have larger patient populations.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genome editing therapeutic product has been approved in the United States or in Europe. Within the broader genome product field, only a limited number of gene therapy products, such as uniQure N.V.’s Glybera and Abecma from Bristol Myers Squibb and bluebird bio, have received marketing authorization or regulatory approval from the European Commission or the FDA. Some of these products have taken years to register and have had to deal with significant issues in their post-marketing experience.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preclinical studies or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 from regulatory authorities for the sale of any product candidates we may identify and develop, we must complete preclinical development and then conduct extensive clinical trials to demonstrate the safety and efficacy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preclinical and clinical data are often susceptible to varying interpretations and analyses. Many companies that have believed their product candidates performed satisfactorily in preclinical studies and clinical trials have nonetheless failed to obtain regulatory approval of their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our collaborators, if any, may experience numerous unforeseen events during, or as a result of, clinical trials that could delay or prevent our ability to receive regulatory approval or commercialize any product candidates we may identify and develop,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 consensus with regulators on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IRBs, or independent ethics committees may not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failing to reach agreement on acceptable clinical trial contracts or clinical trial protocols with prospective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any product candidates we may develop may produce negative or inconclusive results, and we may decide, or regulators may require us, to conduct additional clinical trials or abandon product development or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designing well-controlled clinical trials due to ethical considerations which may render it inappropriate to conduct a trial with a control arm that can be effectively compared to a treatment arm;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designing clinical trials and selecting endpoints for diseases that have not been well-studied and for which the natural history and course of the disease is poorly understood;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of any product candidates we may develop may be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any product candidates we may develop or other materials necessary to conduct preclinical studies or clinical trials of any product candidates we may develop may be insufficient or inadequate, including as a result of delays in the testing, validation, manufacturing, and delivery of any product candidates we may develop to the preclinical study sites or clinical sites by us or by third parties with whom we have contracted to perform certain of those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having patients complete participation in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serious adverse events associated with any product candidates we may develop that are viewed to outweigh their potential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serious adverse events in trials of the same class of agents conducted by other sponsors;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regulatory requirements and guidance that require amending or submitting new clinical protocols.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our collaborators are required to conduct additional clinical trials or other testing of any product candidates we may develop beyond those that we currently contemplate, if we or our collaborators are unable to successfully complete clinical trials or other testing of any product candidates we may develop, or if the results of these trials or tests are not positive or are only modestly positive or if there are safety concerns, we or our collaborators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regulatory approval for any such product candidates we may develop or not obtain regulatory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 including boxed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changes in the way the product is administered;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perform additional clinical trials to support approval or be subject to additional post-marketing testing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regulatory authorities withdraw, or suspend, their approval of the product or impose restrictions on its distribution in the form of a REMS, or through modification to an existing REMS;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sued;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damage to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development costs will also increase if we or our collaborators experience delays in clinical trials or other testing or in obtaining regulatory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Failure to access or a significant delay in accessing animal research models may materially adversely affect our ability to advance our preclinical programs and successfully develop any product candidates we may identify, which could result in significant harm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Consistent with various rules, regulations and current good manufacturing practices (“cGMP”), our ability to advance our preclinical programs and successfully develop any product candidates we may identify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any product candidates we may identify and this could result in significant harm to our business. During the COVID-19 pandemic, researchers and CROs (including those engaged by us) experienced significant limitations in their access to animal research models, specifically including a sharp reduction in the availability of non-human primates (“NHPs”) originating from breeding farms in Southeast Asia and limited access to the generation of genetically-modified rodent models used in efficacy evaluations. Prior to the pandemic, China was the leading exporter of NHPs employed in basic and applied research; however, early in 2020, China ceased exportation of cynomolgus monkeys, the species most commonly involved in pharmaceutical product development. This change in the world supply of a critical research model has resulted in increased demand from breeding farms principally located in Cambodia, Vietnam, and Mauritius Island, with a resultant marked increase in unit pricing. Consequently, this has further exacerbated an already constrained NHP supply for research purposes.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us, our ability to advance our preclinical programs and successfully develop any preclinical candidates we may identify may be materially adversely affected or significantly delayed.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we complete the necessary clinical trials, we cannot predict when, or if, we will obtain regulatory approval to commercialize a product candidate we may develop in the United States or any other jurisdiction, and any such approval may be for a more narrow indication than we seek.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adversely affect our business, financial condition, results of operations,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regulatory approval outside the United States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we, or any of our collaborators or strategic partners, obtain regulatory approvals for any product candidates we may develop, the terms of approvals and ongoing regulation of such product candidates could require the substantial expenditure of resources and may limit how we, or they, manufacture and market such product candidates, which could materially impair our ability to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 for which we obtain regulatory approval, along with the manufacturing processes, post-approval clinical data, labeling, advertising and promotional activities for such product, will be subject to continual requirements of and review by the FDA, the EMA and other regulatory authorities. These requirements include submissions of safety and other post-marketing information and reports, facility registration and drug listing requirements, cGMP relating to quality control, quality assurance and corresponding maintenance of records and documents, applicable product tracking and tracing requirements and requirements regarding the distribution of samples to physicians and recordkeeping. In addition, our manufacturing and testing facilities will be required to undergo pre-license inspections and pre-approval inspections. Even if regulatory approval of a product candidate is granted, the approval may be subject to limitations on the indicated uses for which the products may be marketed or to the conditions of approval, or contain requirements for costly post-marketing testing and surveillance to monitor the safety or efficacy of the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assuming we, or any collaborators we may have, receive regulatory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regulatory approvals for our products withdrawn by regulatory authorities and our, or such collaborators’, ability to market any future products could be limited, which could adversely affect our ability to achieve or sustain profitability. Furthermore, the cost of compliance with post-approval regulations may have a negative effect on our business, operating results, financial condition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obtain orphan drug designation or exclusivity for our potential product candidates, and even if we do, that designation may not provide an expedited development or regulatory review or approval process and any orphan drug exclusivity we may receive for approved products may not prevent the FDA or the EMA from approving other competing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designate a product candidate as an orphan drug if it is a drug or biologic intended to treat a rare disease or condition. A similar regulatory scheme governs approval of orphan product candidates by the EMA in the European Union. Generally, if a product with an orphan drug designation subsequently receives the first regulatory approval for the indication for which it has such designation, the product is entitled to a period of marketing exclusivity, which precludes the FDA or the EMA (as applicable) from approving another marketing application for another similar product candidate for the same orphan therapeutic indication for that time period. The applicable period is seven years in the United States and ten years in the European Union. The exclusivity period in the European Union can be reduced to six years if at the end of the fifth year it is determined that a product no longer meets the criteria for orphan designation, including if the product is sufficiently profitable so that market exclusivity is no longer justified.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the FDA to grant orphan drug exclusivity to one of our potential product candidates, the agency must find that the product candidate is indicated for the treatment of a condition or disease that affects fewer than 200,000 individuals in the United States or that affects 200,000 or more individuals in the United States and for which there is no reasonable expectation that the cost of developing and making the product candidate available for the disease or condition will be recovered from sales of the product in the United States. In the European Union,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it is unlikely that the product, without the benefits derived from orphan status, would generate sufficient return in the European Union to justify the necessary investment in its development; and (3) there exists no satisfactory method of diagnosis, prevention or treatment of such condition authorized for marketing in the European Union, or if such a method exists, the product will be of significant benefit to those affected by the condition. The FDA or EMA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or EMA can subsequently approve the same product candidate for the same condition if the FDA or EMA (as applicable)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carry pollution insurance to protect against possible biological or hazardous waste accidents. However,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are also exposed to risks in connection with any insider trading violations by employees or others affiliated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 code of conduct and an insider trading policy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could limit commercialization of any product candidates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face an inherent risk of product liability exposure related to the testing of any product candidates we may develop in human clinical trials and will face an even greater risk if we commercially sell such product candidates. If we cannot successfully defend ourselves against claims that our product candidates caused injuries, we could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 candidates that we may develop.</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we will need to increase our insurance coverage when we begin clinical trials and if we successfully commercialize any product candidate. Insurance coverage is increasingly expensive. We may not be able to maintain insurance coverage at a reasonable cost or in an amount adequate to satisfy any liability that may arise.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internal computer and information technology systems, or those of our third-party vendors, collaborators, contractors, consultants or other third parties, may fail, become unavailable, or suffer security incidents or data breaches, loss or leakage of data and other disruptions, which could result in a material disruption of our product development programs, compromise confidential, sensitive or personal information related to our business or prevent us from accessing critical information, potentially exposing us to liability or otherwise adversely affecting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internal computer and information technology systems and those of our current and any future third-party vendors, collaborators, contractors, consultants or other third parties, are vulnerable to damage or interruption from, among other things, computer viruses, computer hackers, social engineering attacks (including phishing attacks), ransomware, malware, social engineering, service interruptions, system malfunction, malicious code, employee theft, fraud, misconduct or misuse, denial-of-service attacks, sophisticated nation-state and nation-state-supported actors, wrongful conduct by insider employees or vendors, unauthorized access, natural disasters, terrorism, war and telecommunication and electrical failures. While we seek to protect our information technology systems from system failure, accident and cybersecurity incidents or data breaches, we and our third-party vendors, like other companies in our industry, have in the past and may in the future experience cybersecurity incidents which could result in a disruption of our development programs and our business operations, whether due to a loss of our trade secrets or other proprietary, personal or confidential information or other disruptions. For example, the loss of clinical trial data from future clinical trials could result in delays in our regulatory approval efforts and significantly increase our costs to recover or reproduce the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Controls employed by our information technology department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cybersecurity attack attributed to our third-party vendors as they relate to the information we share with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were to experience a cybersecurity incident, data breach, or other security event relating to our information systems or data, the costs, time and effort associated with the investigation, remediation and potential notification of the breach to counterparties, regulators and data subjects could be material. We may incur significant costs in an effort to detect and prevent security incidents or data breaches, and we may face increased costs and requirements to expend substantial resources in the event of an actual or perceived security incident or data breach. In addition, techniques used to sabotage or to obtain unauthorized access to networks in which data is stored or through which data is transmitted change frequently, become more complex over time and generally are not recognized until launched against a target. The risk of a cybersecurity incident, data breach, or other security event, particularly through cyberattacks including supply chain attacks such as SolarWinds or cyber intrusion, including by computer hackers, foreign governments, and cyber terrorists, has generally increased as the number, intensity, and sophistication of attempted attacks and intrusions from around the world have increased. As a result, we and our third-party vendors may be unable to anticipate these techniques or implement adequate preventative measures quickly enough to prevent either an electronic intrusion into our systems or services or a compromise of critical information. We cannot guarantee that we will be able to detect or prevent any such incidents, and our remediation efforts may not be successful or timely. Our efforts to improve security and protect data from compromise may also identify previously undiscovered instances of data breaches or other cybersecurity incidents.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personal or confidential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any cybersecurity incident, data breach, or other security event were to result in a loss of, or damage to, our or our third-party vendors’, collaborators’, contractors’, consultants’ or other third parties’ data, including personal information, or applications or inappropriate disclosure, loss, destruction or alteration of, or access to, confidential, personal or proprietary information, we would be required to notify affected stakeholders and could incur significant liability including litigation exposure, substantial penalties and fines, we could become the subject of regulatory action, inquiry or investigation, our competitive position could be harmed, we could incur significant reputational damage and the further development and commercialization of any product candidates we may develop could be delayed. Any of the above could have a material adverse effect on our business, financial condition, results of operations or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 candidates we may identify outside of the United States and require us to develop and implement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the U.K. Bribery Act 2010 has extra-territorial effect for companies and individuals having a connection with the United Kingdom.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stringent and often unsettled laws, rules, regulations, policies, standards and contractual obligations related to data privacy and security and changes in such laws, rules, regulations, policies, standards and contractual obligations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data privacy and protection laws, rules, regulations, policies, standards and contractual obligations that apply to the collection, transmission, storage, use, disclosure, transfer, maintenance and other processing of sensitive, personal and personally-identifying information, which, among other things, impose certain requirements relating to the privacy, security, transmission and other processing of personal information, including comprehensive regulatory systems in the United States and European Union. The legislative and regulatory landscape for privacy and data protection continues to evolve in jurisdictions worldwide, and there has been an increasing focus on privacy and data protection issues with the potential to affect our business. However, our data privacy program is in its early stages and we have not yet assessed the applicability of and our compliance with data privacy-related laws, rules and regulations. As a result, we cannot guarantee that we are and have been in compliance with all applicable data privacy and protection laws, rules regulations, policies and standards, and we may need to expend significant resources to implement privacy compliance measures. Additionally, we rely on certain third-party vendors to process certain confidential, sensitive or personal information on our behalf. Failure by us or our third-party vendors to comply with any of these laws, rules, regulations, contractual obligations or standards could result in notification obligations, enforcement actions, regulatory investigations or inquiries, significant fines, imprisonment of company officials and public censure, litigation and claims for damages by affected individuals, customers or business partners, damage to our reputation and loss of goodwill, any of which could have a material adverse effect on our business, financial condition, results of operations or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numerous U.S. federal and state laws, rules and regulations related to the collection, use, disclosure and security of personal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laws in all 50 states require businesses to provide notice to customers whose personally identifiable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cybersecurity incident or data breach. Although we may have contractual protections with our service providers, any actual or perceived cybersecurity incident or data breach could harm our reputation and brand, expose us to potential liability or require us to expend significant resources on data security and in responding to any such actual or perceived cybersecurity incident or data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 Determining whether personal information has been handled in compliance with applicable privacy standards and our contractual obligations can be complex and may be subject to changing interpretation.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Data privacy remains an evolving landscape at both the domestic and international level, with new laws, rules and regulations coming into effect and continued legal challenges. At the federal level, regulations promulgated pursuant to the Health Insurance Portability and Accountability Act of 1996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The Genetic Information Nondiscrimination Act of 2008 (“GINA”), which clarified that genetic information is protected under HIPAA and restricts the use and disclosure of genetic information. In addition, certain state laws govern privacy and security of personal information. Further,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Further, through executive and legislative action, the federal government has also taken steps to restrict data transactions involving certain sensitive data categories – including health data, genetic data, and biospecimens – with persons affiliated with China, Russia, and other countries of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 laws also govern the privacy and security of personal information. For example, California enacted the California Consumer Privacy Act of 2018 (“CCPA”), which went into effect on January 1, 2020 and, among other things, required companies that process information on California residents to make new disclosures to consumers about their data collection, use and sharing practices, allowed consumers to opt out of certain data sharing with third parties and provided a new cause of action for data breaches. Additionally, California voters approved the California Privacy Rights Act (“CPRA”), which went into effect on January 1, 2023. The CPRA significantly modified the CCPA, including by introducing additional obligations such as data minimization and storage limitations and granting additional rights to California residents such as correction of personal information and additional opt-out rights. The CPRA also created a new state agency that has been vested with authority to implement and enforce the CCPA and the CPRA.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enactment of the CCPA has prompted a wave of similar legislative developments in other states and at the federal level, reflecting a trend toward more stringent privacy legislation in the United States. For example, similar laws have been passed in numerous other states. Other states have proposed similar laws,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also states that are specifically regulating health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operations may be subject to European data privacy laws, regulations and guidelines. The collection, use, storage, disclosure, transfer, or other processing of personal information regarding individuals in the EEA and UK, including personal health data, is subject to the EU General Data Protection Regulation, or EU GDPR, with respect to the EEA and the UK General Data Protection Regulation and UK Data Protection Act 2018 with respect to the UK, or UK GDPR, and collectively with the EU GDPR referred to as the “GDPR” in this document unless specified otherwise. The GDPR is wide-ranging in scope and imposes numerous requirements on companies that process personal information, including requirements relating to processing of special categories of personal information (such as health data), relying on a legal basis or condition for processing personal information, where required obtaining consent of the individuals to whom the personal information relates, providing information to individuals regarding data processing activities, conducting privacy impact assessments for “high risk” processing, implementing safeguards to protect the security and confidentiality of personal information, implementing limitations on the retention of personal information, providing mandatory notification of data breaches, and taking certain measures when engaging third-party processors. The GDPR also imposes strict rules on the transfer of personal information to countries outside the EEA and UK to non-adequate territories, including the United States in certain circumstances unless derogation exists or a valid GDPR transfer mechanism (for example, the European Commission approved Standard Contractual Clauses, or SCCs, and the UK International Data Transfer Agreement/Addendum, or UK IDTA) have been put in place. Where relying on the SCCs /UK IDTA for data transfers, we may also be required to carry out transfer impact assessments to assess whether the recipient is subject to local laws which allow public authority access to personal information. Failure to comply with the GDPR, and any supplemental EEA Member State or UK national data protection laws which may apply by virtue of the location of the individuals whose personal information we collect, may result in substantial penalties, including potential fines of up to €20 million (£17.5 million for the UK GDPR) or 4% of annual global revenues for the preceding financial year, whichever is greater. The GDPR also confers a private right of action on data subjects and consumer associations to lodge complaints with supervisory authorities, seek judicial remedies, and obtain compensation for damages resulting from violations of the GDPR. The GDPR increases our responsibility and liability in relation to personal information that we process where such processing is subject to the GDPR, and requires us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EU GDPR and the UK GDPR currently impose substantially similar obligations, it is possible that over time the UK GDPR could become less aligned with the EU GDPR. The UK Government has introduced a Data Protection and Digital Information Bill to reform the UK data protection legal framework which failed in the UK legislative process. A new Data (Use and Access) Bill (“UK Bill”) has been introduced into parliament. If passed, the final version of the UK Bill may have the effect of further altering the similarities between the UK and EEA data protection regime and threaten the UK Adequacy Decision from the European Commission, or EC. Further, this may lead to additional compliance costs and could increase our overall risk In addition, EEA Member States have adopted national laws which may partially deviate from the EU GDPR, and the competent authorities in the EEA Member States may interpret EU GDPR obligations slightly differently from country to country, such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This possible divergence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information and our privacy and data security compliance.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efforts to comply with the evolving data protection laws, rules and regulations may be unsuccessful. It is possible that these laws, rules and regulations may be interpreted and applied in a manner that is inconsistent with our practices and our efforts to comply with the evolving data protection rules may be unsuccessful. The laws are not consistent, and compliance in the event of a widespread cybersecurity incident or data breach is costly and time-consuming. States are also frequently amending existing laws, requiring attention to frequently changing regulatory requirements. We must devote significant resources to understanding and complying with this changing landscape.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properly protect the privacy and security of personal information, we could be alleged or actually found to have breached our contracts. Furthermore, if we fail to comply with applicable privacy laws, including applicable HIPAA privacy and security standards, we could face significant administrative, civil and criminal penalties. HHS has the discretion to impose penalties without attempting to resolve violations through informal means, and such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or security of the personal information of state residents. We cannot be sure how these laws, rules and regulations will be interpreted, enforced or applied to our operations. In addition to the risks associated with enforcement activities and potential contractual liabilities, our ongoing efforts to comply with evolving laws, rules and regulations at the international, federal and state level may be costly and require ongoing modifications to our policies, procedures and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make public statements about our use, collection, disclosure and other processing of personal information through our privacy policies and information provided on our website.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by us or our third-party vendors to comply with laws, rules and regulations regarding data privacy and protection would expose us to risk of enforcement actions taken by data protection authorities and carries with it the potential for significant penalties if we are found to be non-compliant. Similarly, failure to comply with federal and state laws, rules and regulations in the United States regarding privacy and security of personal information could expose us to penalties under such laws, rules and regulations. Any such failure by us or our third-party vendors to comply with data protection and privacy laws, rules and regulations could result in significant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rules or regulations, government investigations into these issues typically require the expenditure of significant resources and generate negative publicity, which could harm our business, financial condition, results of operations or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Third Party Relationships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conflicts arise between us and our collaborators or strategic partners, these parties may act in a manner adverse to us and could limit our ability to implement our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conflicts arise between our collaborators and corporate or strategic partners and us, the other party may act in a manner adverse to us and could limit our ability to implement our strategies. Some of our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 collaborators or strategic partners or to which the collaborators or strategic partners have rights, may result in the withdrawal of partner support for any product candidates we may develop.</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prevent us from obtaining timely regulatory approvals, terminate their agreements with us prematurely or fail to devote sufficient resources to the collaboration efforts, including development, delivery, manufacturing and commercialization of products. Any of these developments could harm our company and product development efforts.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entered into collaborations, and may enter into additional collaborations, with third parties for the research, development, manufacture and commercialization of programs or product candidates. If these collaborations are not successful, our business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strategy, we have entered into collaborations and intend to seek to enter into additional collaborations with third parties for one or more of our programs or product candidates we may develop. For example, in June 2022, we entered into a Development, Option and License Agreement with Affini-T Therapeutics, Inc. (“Affini-T”) to develop and commercialize gene edited T-cell receptor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and in November 2022, we entered into a Collaboration and License Agreement with Ionis Pharmaceuticals, Inc. (“Ionis”) to research, develop and commercialize investigational medicines using our genome editing technologies. Our likely collaborators for any other collaboration arrangements include large and mid-size pharmaceutical companies, regional and national pharmaceutical companies and biotechnology companies. We have under these agreements, and we may have under any other arrangements that we may enter into with any third parties, limited control over the amount and timing of resources that collaborators dedicate to the development or commercialization of our product candidates. Our ability to generate revenue from these arrangements may depend on our collaborators’ abilities to successfully perform the functions assigned to them in these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that we enter into may not be successful, and any success will depend heavily on the efforts and activities of such collaborators. Collaborations pose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amount and timing of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preclinical studies and clinical trials, provide insufficient funding for a preclinical study or clinical trial program, stop a preclinical study or clinical trial or abandon a product candidate, repeat or conduct new preclinical studies or clinical trials or require a new formulation of a product candidate for preclinical 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may fail to comply with applicable regulatory requirements regarding the development, manufacture, distribution or marketing of a product candidate or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one or more of our product candidates that achieve regulatory approval may not commit sufficient resources to the marketing and distribution of such product or products;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with respect to the ownership of intellectual property or other rights developed pursuant to our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misappropriate or otherwise violate the intellectual property or proprietary rights of third parties, which may expose us to litigation and potential liability;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 If any current or future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Quarterly Report on Form 10-Q also apply to the activities of our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agreements may require us to incur non-recurring and other charges, increase our near- and long-term expenditures, issue securities that dilute our existing stockholders, or disrupt our management and business. For more information, see the section titled “Business—Our License and Collaboration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restricted under existing collaboration agreements from entering into future collaboration agreements on certain terms with potential collaborators. In addition, there have been a significant number of recent business combinations among large pharmaceutical companies that have resulted in a reduced number of potential future collaborators, which further increases competition we face in seeking potential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collaborators and strategic partners may control aspects of our clinical trials, which could result in delays and other obstacles in the commercialization of our proposed products and materially harm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some programs, we will depend on third party collaborators and strategic partners to design and conduct our clinical trials. As a result, we may not be able to conduct these programs in the manner or on the time schedule we currently contemplate, which may negatively impact our business operations. In addition, if any of these collaborators or strategic partners withdraw support for our programs or proposed products or otherwise impair their development, our business could be negatively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2022, we entered into a Development, Option and License Agreement with Affini-T to develop and commercialize gene edited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and in November 2022, we entered into a Collaboration and License Agreement with Ionis to research, develop and commercialize investigational medicines for up to eight potential genetic targets using genome editing technologies. Our lack of control over the clinical development in our agreements with Affini-T and Ionis could cause delays or other difficulties in the development and commercialization of product candidates, which may prevent completion of intended IND applications in a timely fashion,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termination of these agreements would prevent us from receiving any milestone, royalty payments and other benefits under that agreement, which would have a materially adverse effect on our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collaborators or strategic partners may decide to adopt alternative technologies or may be unable to develop commercially viable products with our technology, which would negatively impact our revenues and our strategy to develop these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collaborators or strategic partners may adopt alternative technologies, which could decrease the marketability of our genome editing technology. Additionally, because our current or future collaborators or strategic partners are likely to be working on more than one development project, they could choose to shift their resources to projects other than those they are working on with us. If they do so, this would delay our ability to test our technology and would delay or terminate the development of potential products based on our genome editing technology. Further, our collaborators and strategic partners may elect not to develop products arising out of our collaborative and strategic partnering arrangements or to devote sufficient resources to the development, manufacturing, marketing or sale of these products. The failure to develop and commercialize a product candidate pursuant to our agreements with our current or future collaborators would prevent us from receiving future milestone and royalty payments which would negatively impact our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to rely on third parties to conduct our clinical trials and some aspects of our research, as well as some aspects of our delivery methods, and those third parties may not perform satisfactorily, including failing to meet deadlines for the completion of such trials, research or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third parties, such as CROs, clinical data management organizations, medical institutions, preclinical laboratories and clinical investigators, to conduct some aspects of our research. For example, we may rely on a third party to supply LNPs or AAVs, or to conduct our preclinical animal experiments. Any of these third parties may terminate their engagements with us at any time under certain criteria. If we need to enter into alternative arrangements, it may delay our product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reliance on these third parties for clinical research and other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 In the United States, we also are required to register certain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intend to design the preclinical studies and clinical trials for our potential product candidates, CROs will conduct some or all of the preclinical studies and clinical trials. As a result, many important aspects of our development programs, including their conduct and timing, will be outside of our direct control. Our reliance on third parties to conduct preclinical studies and future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Among other reasons that may delay or impact the development of our potential product candidates, outside parties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staffing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 to comply with contractual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regulatory compliance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undergo changes in priorities or become financially distressed;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 relationships with other entities, some of which may be our competitors.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such preclinical studies and future clinical trials in a satisfactory manner, breach their obligations to us or fail to comply with regulatory requirements, the development, regulatory approval and commercialization of our potential product candidates may be delayed, we may not be able to obtain regulatory approval and commercialize our potential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expect to rely on other third parties to store and distribute drug supplies for our future clinical trials. Any performance failure on the part of our distributors could delay clinical development or regulatory approval of any product candidates we may develop or commercialization of our therapies, producing additional losses and depriving us of potential product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Manufacturing biologic products is complex and subject to product loss for a variety of reasons. We contract with third parties for the manufacture of certain materials for our development programs and expect to continue to do so for clinical trials and commercialization. This reliance on third parties increases the risk that we will not have sufficient quantities of our future product candidates or products or such quantities at an acceptable cost or quality,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and are expanding our cGMP manufacturing facility which is currently capable of manufacturing clinical grade nucleases and mRNA to supply both wholly-owned and collaboration programs. We also partner with CMOs for guide RNA (“gRNA”) and DNA template development and supply. We also rely, and expect to continue to rely, on third parties for gRNA and DNA template development and supply, as well as for preclinical and clinical testing and commercial manufacture if any of our product candidates receive regulatory approval. We also expect to rely on these third parties for certain logistics, including packaging, labeling, storage, and distribution. This reliance on third parties increases the risk that we will not have sufficient quantities of our materials or future product candidates or products or such quantities at an acceptable cost or quality, which could delay, prevent or impair our development or commercialization efforts. We may be unable to establish any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third-party manufacturers may encounter shortages in the raw materials or active pharmaceutical ingredients necessary to produce our future product candidates in the quantities needed for our preclinical studies or clinical trials or, if our future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 by our competitors or others. The failure of us or our third-party manufacturers to obtain the raw materials or active pharmaceutical ingredients necessary to manufacture sufficient quantities of our future product candidates may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Components of a finished therapeutic product approved for commercial sale or used in late-stage clinical trials must be manufactured in accordance with cGMP. We, along with our third-party manufacturers, are subject to inspection and approval by regulatory authorities before we can commence the manufacture and sale of any of our future product candidates, and thereafter subject to ongoing inspection from time to time. We or our third-party manufacturers may not be able to comply with cGMP or similar regulatory requirements outside of the United States. Our failure, or the failure of our third-party manufacturers,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biologic products, such as the product candidates we intend to develop, is complex, especially in large quantities. Biologic products must be made consistently and in compliance with a clearly defined manufacturing process. Accordingly, it is essential to be able to validate and control the manufacturing process to assure that it is reproducible. Any product candidates and products that we may develop may compete with other product candidates and products for access to manufacturing facilities. As a result, we may not obtain access to these facilities on a priority basis or at all. There are a limited number of manufacturers that operate under cGMP and that might be capable of manufacturing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performance failure on the part of our existing or future manufacturers could delay clinical development or regulatory approval. We do not currently have arrangements in place for redundant supply or a source for bulk drug substance nor do we have any agreements with third-party manufacturers for long-term commercial supply. If any of our contract manufacturers cannot perform as agreed, we may be required to replace such manufacturers. Although we believe that there are several potential alternative manufacturers who could manufacture materials or future product candidates or products we may develop, we may incur added costs and delays in identifying and qualifying any such replacement or be unable to reach agreement with an alternative manufacturer. If we are required to change third party-manufacturers for any reason, we will be required to verify that the new third party-manufacturer maintains facilities and procedures that comply with quality standards and with all applicable regulations. We will also need to verify, such as through a manufacturing comparability study, that any new manufacturing process will produce our materials or future product candidates or products according to the specifications previously submitted to the FDA or another regulatory authority. The delays associated with the verification of a new third party-manufacturer could negatively affect our ability to develop product candidates or commercialize our products in a timely manner or within budget. Furthermore, a third party-manufacturer may possess technology related to the manufacture of our materials or future product candidates or products that such third party-manufacturer owns independently. This would increase our reliance on such third party-manufacturer or require us to obtain a license from such third party-manufacturer in order to have another third party-manufacturer manufacture our materials or future product candidates or products, which may not be available on commercially reasonable terms, or at all.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materials and any future product candidates or products we may develop may adversely affect our future profit margins and our ability to commercialize any products that receive regulatory approval on a timely and competitive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Healthcare providers, including physicians, and third-party payors play a primary role in the recommendation and prescription of any product candidates that we may develop for which we obtain regulatory approval and marketing approval. Our current and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including certain laws and regulations applicable only if we have marketed products,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civil FCA, prohibits knowingly presenting or causing the presentation of a false, fictitious or fraudulent claim for payment to the U.S. government. Actions under the FCA may be brought by the Attorney General or as a qui tam action by a private individual in the name of the government. Violations of the FCA can result in very significant monetary penalties, for each false claim and treble the amount of the government’s damages. Manufacturers can be held liable under the FCA even when they do not submit claims directly to government payors if they are deemed to “cause” the submission of false or fraudulent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Statute has been interpreted to apply to arrangements between manufacturers on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FDCA, which among other things, strictly regulates drug marketing, prohibits manufacturers from marketing such products for off-label use and regulates the distribution of samples;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transparency laws, including the federal Physician Payment Sunshine Act created under the Patient Protection and Affordable Care Act as amended by the Health Care and Education Reconciliation Act of 2010 (collectively, the ACA), and its implementing regulations, which requires manufacturers of certain drugs, devices, medical supplies, and biologics, among others, to track and disclose payments under Medicare, Medicaid or the Children’s Health Insurance Program (with certain exceptions) and other transfers of value they make to U.S. physicians (defined to include doctors, dentists, optometrists, podiatrists and chiropractors), certain non-physician providers such as physician assistants and nurse practitioners, and teaching hospitals, as well as ownership and investment interests held by physicians and their immediate family members. This information is subsequently made publicly available in a searchable format on a Centers for Medicare &amp; Medicaid Services (“CMS”) website. Failure to disclose required information may result in civil monetary penalties for all payments, transfers of value or ownership or investment interests that are not timely, accurately and completely reported in an annual submission. Certain states also mandate implementation of compliance programs, impose restrictions on drug manufacturer marketing practices and/ or require the tracking and reporting of gifts, compensation and other remuneration to physicians and/or other healthcare providers;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anti-bribery and false claims laws, which may apply to healthcare items or services that are reimbursed by non-governmental third-party payors, including private insurers.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significant penalties, including civil and criminal penalties, damages, fines, exclusion from participation in government healthcare programs, such as Medicare and Medicaid, individual imprisonment, and the curtailment or restructuring of our operations, any of which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prohibited in the European Union. The provision of benefits or advantages to also induce or reward improper performance generally is governed by the national anti-bribery laws of European Union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Personnel, Operations, and Growth</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our Chief Executive Officer and other key executives and to attract, retain, and motivate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Brian C. Thomas, our Chief Executive Officer as well as the other principal members of our management and scientific teams. Dr. Thomas and such other principal members are engaged “at will,” meaning we or they may terminate the relationship at any time. We do not maintain “key person” insurance for any of our executives or other employees. The loss of the services of any of these persons could impede the achievement of our research, development and commercialization objectives. For us to successfully compete and grow, we must recruit, retain, and develop talent who can provide the necessary expertise across a broad spectrum of disciplines. In addition, we must develop, maintain and, as necessary, implement appropriate succession plans to ensure we have the necessary human capital capable of maintaining continuity in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Recruiting and retaining qualified scientific, clinical, manufacturing and sales and marketing personnel will also be critical to our success. In addition, our company-building efforts and establishment of a company culture will also be important to developing an innovative company in a high-evolving area. We may not be able to succeed in these efforts to build Metagenomi as an attractive and exciting place to build a career or to attract and retain these types of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We may also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to expand our research, development, delivery, manufacturing, commercialization, regulatory, and future sales and marketing capabilities over time, and as a result, we may encounter difficulties in managing our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manage our growth effectively. As of March 31, 2025, we had 176 full-time employees, of which 62 have M.D. or Ph.D. degrees. Within our workforce, 149 employees are engaged in research and development and 27 are engaged in business development, finance, legal, and general management and administration. In connection with the growth and advancement of our pipeline and continuing to operate as a public company, we expect to increase the number of our employees and the scope of our operations, particularly in the areas of research and clinical development, regulatory affairs and, if any of our future product candidates receive regulatory approval,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growing biotechnology company, we are actively developing our platform technology and pursuing development of future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We will need to transition from a company with a research focus to a company capable of conducting clinical trials and ultimately supporting commercial activities if any of our product candidates are approved. We may not be successful in such a transition.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potential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product candidates we may develop will depend in part on our ability to effectively manage the future development and expansion of our company, and may prevent us from achieving or maintaining profitability. We cannot assure you that we will be able to compete effectively in the future against existing or new competitors, and our failure to do so could harm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a reduction in staffing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reduced staffing,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While federal agencies in the U.S. operate under a continuing resolution and without appropriation of additional funding to federal agencies, our business operations related to our product development activities for the U.S. market could be impacted. Disruptions at the FDA and other agencies, including substantial leadership departures, personnel cuts, and policy changes, may also slow the time necessary for biologics or modifications to approved biologics to be reviewed and/or approved by necessary government agencies, which would adversely affect our business. Changes and cuts in FDA staffing also could result in delays in the FDA’s responsiveness or in its ability to review IND submissions or applications, issue regulations or guidance, or implement or enforce regulatory requirements in a timely fashion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prolonged government shutdown significant leadership, personnel, and/or policy changes, or other substantial modification in agency activities (including due to global health concerns or geopolitical factors) could significantly impact the ability of the FDA or other regulatory authorities to timely review and process our regulatory submissions, which could have a material adverse effect on our business. In addition, government funding of other agencies on which our operations may rely, including those that fund research and development activities and clinical trials, is subject to the political process, which is inherently fluid and unpredictable. Disruptions at agencies that fund our research and development activities and our clinical trials, or changes to such agencies’ budgets, may negatively impact our operations and ongoing clinical trials and may limit our ability to seek additional funding in the future.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change in the U.S. presidential administration in 2025, there is substantial uncertainty as to whether and how the Trump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new administration could issue or promulgate executive orders, regulations, policies or guidance that adversely affect us or create a more challenging or costly environment to pursue the development of new therapeutic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Our Intellectual Property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or identical to ours and our ability to successfully develop and commercialize our genome editing systems may be adversely affected.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large part, on our ability to obtain and maintain intellectual property rights protection through patents, trademarks, and trade secrets in the United States and other countries with respect to our proprietary genome editing systems </w:t>
      </w:r>
      <w:r>
        <w:rPr>
          <w:rFonts w:ascii="Times New Roman" w:hAnsi="Times New Roman"/>
          <w:color w:val="231F20"/>
          <w:sz w:val="20"/>
        </w:rPr>
        <w:t>and to operate without infringing, misappropriating or otherwise violating the intellectual property of others</w:t>
      </w:r>
      <w:r>
        <w:rPr>
          <w:rFonts w:ascii="Times New Roman" w:hAnsi="Times New Roman"/>
          <w:color w:val="000000"/>
          <w:sz w:val="20"/>
        </w:rPr>
        <w:t>. If we do not adequately protect our intellectual property rights, competitors or other third parties may be able to erode, negate or preempt any competitive advantage we may have, which could harm our business and ability to achieve profitability. To protect our proprietary position, we have filed patent applications and may file other patent applications in the United States or abroad related to our genome editing systems that are important to our business; we may also license or purchase patents or patent applications filed by others. The patent application process is expensive, time-consuming and complex. We may not be able to file, prosecute, maintain, enforce or license all necessary or desirable patent applications at a reasonable cost or in a timely manner.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United States Patent and Trademark Office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obtain patents on certain inventions if those inventions are publicly disclosed prior to our filing a patent application covering them. We enter into nondisclosure and confidentiality agreements with parties who have access to confidential information, including confidential information regarding inventions not yet disclosed in patent applications. We cannot guarantee that any of these parties will not breach these confidentiality agreements and publicly disclose any of our inventions before a patent application is filed covering such inventions. If such confidential information is publicly disclosed, we may not be able to successfully patent it and consequently, we may not be able to prevent third parties from using such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patents have, or that any of our pending owned patent applications that mature into issued patents will include claims with a scope sufficient to protect our proprietary genome editing systems or otherwise provide any competitive advantage. Other parties have developed or may develop technologies that may be related or competitive with our approach, and may have filed or may file patent applications and may have been issued or may be issued patents with claims that overlap or conflict with our patent portfolio, either by claiming the same compounds, formulations or methods or by claiming subject matter that could dominate our patent position. In addition, the laws of foreign countries may not protect our rights to the same extent as the laws of the United States. Furthermore, patents have a limited lifespan. In the United States, the natural expiration of a patent is generally twenty years after its earliest priority claim, not including priority claims to provisional or foreign national applications. Various extensions may be available; however, the life of a patent, and the protection it affords, is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genome editing systems, patents protecting such genome editing systems might expire before or shortly after such genome editing systems are commercialized. As a result, our patent portfolio may not provide us with adequate and continuing patent protection sufficient to exclude others from commercializing products similar or identical to 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they are unchallenged, our owned patents and pending patent applications, if issued, may not provide us with any meaningful protection or prevent competitors from designing around our patent claims to circumvent our patent portfolio by developing similar or alternative genome editing systems in a non-infringing manner. For example, a third party may develop a genome editing system that provides benefits similar to our genome editing systems but falls outside the scope of our patent protection or license rights. If the patent protection provided by the patent and patent applications we hold or pursue with respect to our genome editing systems is not sufficiently broad to impede such competition, our ability to successfully commercialize our product genome editing systems could be negatively affected, which would harm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defects of form in the preparation or filing of our patent portfolio may exist, or may arise in the future, for example with respect to proper priority claims, inventorship, claim scope, or requests for patent term adjustments. If we or our partners, collaborators, or licensees whether current or future, fail to establish, maintain or protect such patents and other intellectual 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 portfolio, such patents may be invalid and/or unenforceable, and such applications may never result in valid, enforceable patents. Periodic maintenance fees, renewal fees, annuity fees and various other government fees on patents and/or applications will be due to be paid to the USPTO and various government patent agencies outside of the United States over the lifetime of our owned or licensed patents and patent applications.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Any of these outcomes could impair our ability to prevent competition from third parties, which may have an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carries uncertainty. In addition, the determination of patent rights with respect to genome editing technologies commonly involves complex legal and factual questions, which are dependent upon the current legal and intellectual property context, extant legal precedent and interpretations of the law by individuals. As a result, the issuance, scope, validity, enforceability and commercial value of our patent rights are characterized by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Furthermore, the volume of all publicly available prior art is not feasibly searchable in detail in its entirety. Therefore, we cannot be certain that we were the first to make the inventions claimed in our patent portfolio, or that we were the first to file for patent protection of such inventions. If third parties have filed prior patent applications on inventions claimed in our patent portfolio that were filed on or before March 15, 2013, an interference proceeding in the United States can be initiated by such third parties to determine who was the first to invent any of the subject matter covered by our patent portfolio. If third parties have filed such prior applications after March 15, 2013, a derivation proceeding in the United States can be initiated by such third parties to determine whether our invention was derived from theirs.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the issuance of a patent is not conclusive as to its inventorship, scope, validity or enforceability, our patents may be challenged in the courts or patent offices in the United States and abroad. There is no assurance that all the potentially relevant prior art relating to our patent portfolio has been found.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 portfolio,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Alternately or additionally, we may become involved in post-grant review procedures, oppositions, derivation proceedings, ex parte reexaminations, inter partes review, supplemental examinations, or interference proceedings or challenges before the USPTO or in district court in the United States, or similar proceedings in various foreign jurisdictions, including both national and regional, challenging patents or patent applications in which we have rights, including patents on which we rely to protect our business. An adverse determination in any such challenges may result in loss of the patent or claims in the patent portfolio being narrowed, invalidated or held unenforceable, in whole or in part, or in denial of the patent application or loss or reduction in the scope of one or more claims of the patent portfolio, any of which could limit our ability to stop others from using or commercializing similar or identical technology and products, or limit the duration of the patent protection of our technology and products.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Pending and future patent applications may not result in patents being issued that protect our business, in whole or in part, or which effectively prevent others from commercializing competitive products. Competitors may also be able to design around our patents.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jurisdiction covering significant commercial markets, such as the European Patent Office, China, and Japan, restrict the patentability of methods of treatment of the human body more than United States law does. If these developments were to occur, they could have a material adverse effect on our ability to generate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future development partners will be successful in protecting our genome editing systems by obtaining and defending patents. These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Company-owned or in-licensed patents that have been issued or may be issued in the future may be challenged, invalidated, modified, revoked, circumvented, found to be unenforceable or otherwise may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and many of whom have made significant investments in competing technologies, may seek or may have already obtained patents that will limit, interfere with or eliminate our ability to make, use, and sell our genome editing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U.S. may, under certain circumstances, force us to grant a license under our patents to a competitor, thus allowing the competitor to compete with us in that jurisdiction or forcing us to lower the price of our drug in that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certain information as company trade secrets. This information may relate to inventions that are not patentable or not optimally protected with patents. We use commercially acceptable practices to protect this information, including, for example, limiting access to the information and requiring passwords for our computers. Additionally, we execute confidentiality agreements with any third parties to whom we may provide access to the information and with our employees, consultants, scientific advisors, collaborators, vendors, contractors, and advisors. We 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If any of our trade secrets were to be independently developed by a competitor or other third party, we would have no right to prevent such competitor or third party, or those to whom they communicate such independently developed information, from using that information to compete with us. We may not be able to prevent the unauthorized disclosure or use of our technical knowledge or trade secrets by contract manufacturers, consultants, collaborators, vendors, advisors, former employees and current employees.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unauthorized uses and disclosures is difficult and we do not know whether the steps we have taken to protect our proprietary technologies will be effective. Furthermore, if the parties to our confidentiality agreements 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our business, financial condition, results of operation and prospects may be materially and adversely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It is difficult and costly to protect our intellectual property and our proprietary technologies, and we may not be able to ensure their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part on obtaining and maintaining patent protection and trade secret protection for our proprietary genome editing systems, as well as on successfully defending these patents against potential third-party challenges. Our ability to protect our genome editing systems from unauthorized making, using, selling, offering to sell or importing by third parties is dependent on the extent to which we have rights under valid and enforceable patents that cover these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positions of pharmaceutical, biotechnology and other life sciences companies can be highly uncertain and involve complex legal and factual questions for which important legal principles remain unresolved and have in recent years been the subject of much litigation. Changes in either the patent laws or in interpretations of patent laws in the United States and other countries may diminish the value of our intellectual property. Over the past decade, U.S. federal courts have increasingly invalidated pharmaceutical and biotechnology patents during litigation often based on changing interpretations of patent law. Further, the determination that a patent application or patent claim meets all the requirements for patentability is a subjective determination based on the application of law and jurisprudence. The ultimate determination by the USPTO or by a court or other trier of fact in the United States, or corresponding foreign national patent offices or courts, on whether a claim meets all requirements of patentability cannot be assured. Although we have conducted searches for third-party publications, patents and other information that may affect the patentability of claims in our patent portfolio, we cannot be certain that all relevant information has been identified. Accordingly, we cannot predict the breadth of claims that may be allowed or enforced in our own patent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provide assurances that any of our patent applications will be found to be patentable, including over our own prior art publications or patent literature, or will issue as patents. Neither can we make assurances as to the scope of any claims that may issue from our pending and future patent applications nor to the outcome of any proceedings by any potential third parties that could challenge the patentability, validity or enforceability of our patent portfolio in the United States or foreign jurisdictions. Any such challenge, if successful, could limit patent protection for our genome editing systems and/or materially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challenges during litigation, third parties can challenge the validity of our patents in the United States using post-grant review and inter partes review proceedings, which some third parties have been using to cause the cancellation of selected or all claims of issued patents of competitors. For a patent filed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will be successful in defending the patent, which may result in a loss of the challenged patent right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generate sufficient data to support full patent applications that protect the entire breadth of developments in one or more of our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one or more of our pending patent applications will not become an issued patent or, if issued, that the patent(s) claims will have sufficient scope to protect our technology, provide us with commercially viable patent protection or provide us with any competitive advantages;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pending applications issue as patents, they may be challenged by third parties as invalid or unenforceable under United States or foreign laws;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successfully commercialize our genome editing systems, if approved, before our relevant patents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the first to make the inventions covered by our patent portfolio;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or genome editing systems that are separately patentable.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extent that we are unable to obtain and maintain patent protection for our genome editing systems, or in the event that such patent protection expires, it may no longer be cost-effective to extend our portfolio by pursuing additional development of any of our genome editing systems for follow-on indications.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priority claim, not including priority claims to provisional or foreign national applications. The patent term of a U.S. patent may be lengthened by patent term adjustment, which compensates a patentee for administrative delays by the USPTO in granting a patent, or may be shortened if a patent is terminally disclaimed over an earlier-filed patent.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extensions may be available, but the life of a patent, and the protection it affords, is limited. Given the amount of time required for the development, testing and regulatory review of new genome editing systems, patents protecting such genome editing systems might expire before or shortly after such genome editing systems are commercialized.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Drug Price Competition and Patent Term Restoration Act of 1984 permits a Patent Term Extension (“PTE”) of up to five years beyond the normal expiration of the patent to compensate patent owners for loss of enforceable patent term due to the lengthy regulatory approval process. A PTE grant cannot extend the remaining term of a patent beyond a total of 14 years from the date of the product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PTE may only be applied once per product, and only with respect to an approved indication—in other words, only one patent (for example, covering the product itself, an approved use of said product, or a method of manufacturing said product) can be extended by PTE. We anticipate applying for PTE in the United States. Similar extensions may be available in other countries where we are prosecuting patents and we likewise anticipate applying for such extensions. </w:t>
      </w:r>
    </w:p>
    <w:p>
      <w:pPr>
        <w:pStyle w:val="TextBody"/>
        <w:bidi w:val="0"/>
        <w:spacing w:before="240" w:after="283"/>
        <w:jc w:val="left"/>
        <w:rPr>
          <w:rFonts w:ascii="Times New Roman" w:hAnsi="Times New Roman"/>
          <w:sz w:val="20"/>
        </w:rPr>
      </w:pPr>
      <w:r>
        <w:rPr>
          <w:rFonts w:ascii="Times New Roman" w:hAnsi="Times New Roman"/>
          <w:color w:val="000000"/>
          <w:sz w:val="20"/>
        </w:rPr>
        <w:t>The granting of such patent term extensions is not guaranteed and is subject to numerous requirements. We might not be granted an extension because of, for example, failure to apply within applicable periods, failure to apply prior to the expiration of relevant patents or otherwise failure to satisfy any of the numerous applicable requirements. Additionally, administrative changes at the USPTO or other applicable regulatory patent authorities, such as reduced hiring and/or funding, may result in delays in issuance of a patent or in accrual of patent term extension, thereby reducing the amount of patent term extension that could otherwise be received. Administrative changes (</w:t>
      </w:r>
      <w:r>
        <w:rPr>
          <w:rFonts w:ascii="Times New Roman" w:hAnsi="Times New Roman"/>
          <w:i/>
          <w:color w:val="000000"/>
          <w:sz w:val="20"/>
        </w:rPr>
        <w:t>e.g.</w:t>
      </w:r>
      <w:r>
        <w:rPr>
          <w:rFonts w:ascii="Times New Roman" w:hAnsi="Times New Roman"/>
          <w:color w:val="000000"/>
          <w:sz w:val="20"/>
        </w:rPr>
        <w:t>, at the FDA or USPTO) may also lead to delays in review and analysis of requests for patent term extension, which could result in a patent term extension not being timely granted (</w:t>
      </w:r>
      <w:r>
        <w:rPr>
          <w:rFonts w:ascii="Times New Roman" w:hAnsi="Times New Roman"/>
          <w:i/>
          <w:color w:val="000000"/>
          <w:sz w:val="20"/>
        </w:rPr>
        <w:t>e.g.</w:t>
      </w:r>
      <w:r>
        <w:rPr>
          <w:rFonts w:ascii="Times New Roman" w:hAnsi="Times New Roman"/>
          <w:color w:val="000000"/>
          <w:sz w:val="20"/>
        </w:rPr>
        <w:t>, before the expiration of the patent). In addition, to the extent we wish to pursue patent term extension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the interpretation of patent law in the United States and other jurisdictions could diminish the value of patents in general, thereby impairing our ability to protect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Congress is responsible for passing laws establishing patentability standards. As with any laws, implementation is left to federal agencies and the federal courts based on their interpretations of the laws. Interpretation of patent standards can vary significantly within the USPTO, and across the various federal courts, including the U.S. Supreme Court. Recently, the Supreme Court has ruled on several patent cases, generally limiting the types of inventions that can be patented. Further, there are open questions regarding interpretation of patentability standards that the Supreme Court has yet to decisively address. Absent clear guidance from the Supreme Court, the USPTO has become increasingly conservative in its interpretation of patent laws and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increasing uncertainty with regard to our ability to obtain patents in the future, the legal landscape in the U.S. has created uncertainty with respect to the value of patents. Depending on any actions by Congress, and future decisions by the lower federal courts and the U.S. Supreme Court, along with interpretations by the USPTO, the laws and regulations governing patents could change in unpredictable ways and could weaken our ability to obtain new patents or to enforce our existing patents and patents that we might obtain in the future.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U.S. Supreme Court has ruled on several patent cases in recent years; these cases often narrow the scope of patent protection available to inventions in the biotechnology and pharmaceutical spaces. For example, in </w:t>
      </w:r>
      <w:r>
        <w:rPr>
          <w:rFonts w:ascii="Times New Roman" w:hAnsi="Times New Roman"/>
          <w:i/>
          <w:color w:val="000000"/>
          <w:sz w:val="20"/>
        </w:rPr>
        <w:t xml:space="preserve">Association for Molecular Pathology v. Myriad Genetics, Inc. </w:t>
      </w:r>
      <w:r>
        <w:rPr>
          <w:rFonts w:ascii="Times New Roman" w:hAnsi="Times New Roman"/>
          <w:color w:val="000000"/>
          <w:sz w:val="20"/>
        </w:rPr>
        <w:t>(“</w:t>
      </w:r>
      <w:r>
        <w:rPr>
          <w:rFonts w:ascii="Times New Roman" w:hAnsi="Times New Roman"/>
          <w:i/>
          <w:color w:val="000000"/>
          <w:sz w:val="20"/>
        </w:rPr>
        <w:t>Myriad</w:t>
      </w:r>
      <w:r>
        <w:rPr>
          <w:rFonts w:ascii="Times New Roman" w:hAnsi="Times New Roman"/>
          <w:color w:val="000000"/>
          <w:sz w:val="20"/>
        </w:rPr>
        <w:t xml:space="preserve">”), the Supreme Court ruled that a “naturally occurring DNA segment is a product of nature and not patent eligible merely because it has been isolated,” and invalidated Myriad Genetics’ claims on the isolated BRCA1 and BRCA2 genes. Certain claims of our patent portfolio relate to genome editing systems. While we believe that our proprietary genome editing systems involve significant human intervention, components of the system, such as the isolated nucleases with no modifications, are derived from naturally-occurring products. To the extent that such claims are deemed to be directed to natural products, or to lack an inventive concept above and beyond an isolated natural product, a court may decide the claims are directed to patent-ineligible subject matter and are invalid. The application of </w:t>
      </w:r>
      <w:r>
        <w:rPr>
          <w:rFonts w:ascii="Times New Roman" w:hAnsi="Times New Roman"/>
          <w:i/>
          <w:color w:val="000000"/>
          <w:sz w:val="20"/>
        </w:rPr>
        <w:t xml:space="preserve">Myriad </w:t>
      </w:r>
      <w:r>
        <w:rPr>
          <w:rFonts w:ascii="Times New Roman" w:hAnsi="Times New Roman"/>
          <w:color w:val="000000"/>
          <w:sz w:val="20"/>
        </w:rPr>
        <w:t>to biotechnology inventions has continued to develop and may continue to change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rulings in cases or guidance or procedures issued by the USPTO relating to patent eligibility may have a negative impact on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w:t>
      </w:r>
      <w:r>
        <w:rPr>
          <w:rFonts w:ascii="Times New Roman" w:hAnsi="Times New Roman"/>
          <w:i/>
          <w:color w:val="000000"/>
          <w:sz w:val="20"/>
        </w:rPr>
        <w:t xml:space="preserve">Amgen Inc. v. Sanofi </w:t>
      </w:r>
      <w:r>
        <w:rPr>
          <w:rFonts w:ascii="Times New Roman" w:hAnsi="Times New Roman"/>
          <w:color w:val="000000"/>
          <w:sz w:val="20"/>
        </w:rPr>
        <w:t>(“</w:t>
      </w:r>
      <w:r>
        <w:rPr>
          <w:rFonts w:ascii="Times New Roman" w:hAnsi="Times New Roman"/>
          <w:i/>
          <w:color w:val="000000"/>
          <w:sz w:val="20"/>
        </w:rPr>
        <w:t>Amgen</w:t>
      </w:r>
      <w:r>
        <w:rPr>
          <w:rFonts w:ascii="Times New Roman" w:hAnsi="Times New Roman"/>
          <w:color w:val="000000"/>
          <w:sz w:val="20"/>
        </w:rPr>
        <w:t xml:space="preserve">”), the U.S. Supreme Court held that certain of Amgen’s patent claims defined a class of antibodies by their function of binding to a particular antigen. The U.S. Supreme Court further wrote that because the patent claims defined the claimed class of antibodies only by their function of binding to a particular antigen, a skilled artisan would have to use significant trial and error to identify and make all of the molecules in that class. The U.S. Supreme Court ultimately held that Amgen failed to properly enable its patent claims. Certain claims of our patent portfolio relate to broad classes of gene editors. To the extent that a court finds that the skilled artisan would need significant trial and error to identify all the gene editors in that class, the court may find the claims invalid under </w:t>
      </w:r>
      <w:r>
        <w:rPr>
          <w:rFonts w:ascii="Times New Roman" w:hAnsi="Times New Roman"/>
          <w:i/>
          <w:color w:val="000000"/>
          <w:sz w:val="20"/>
        </w:rPr>
        <w:t>Amgen</w:t>
      </w:r>
      <w:r>
        <w:rPr>
          <w:rFonts w:ascii="Times New Roman" w:hAnsi="Times New Roman"/>
          <w:color w:val="000000"/>
          <w:sz w:val="20"/>
        </w:rPr>
        <w:t>.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a new court system recently became operational in the European Union. The Unified Patent Court (“UPC”) began accepting patent cases on June 1, 2023. The UPC is a common patent court with jurisdiction over patent infringement and revocation proceedings effective for multiple member states of the European Union. The broad geographic reach of the UPC could enable third parties to seek revocation of any of our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decided to opt out certain European patents and patent applications from the UPC. However, if certain formalities and requirements are not met, our European patents and patent applications could be subject to the jurisdiction of the UPC. We cannot be certain that our European patents and patent applications will avoid falling under the jurisdiction of the UPC, if we decide to opt out of the UPC.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seek or obtain patent protection throughout the world or enforce such patent protection once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enforcing, and defending patents protecting our genome editing systems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or from selling or importing products made from our inventions in and into the United States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Proceedings to enforce our patent rights, whether successful or not, could result in substantial costs and divert our efforts and resources from other aspects of our business. Further, such proceedings could put our patents at risk of being invalidated, held unenforceable or interpreted narrowly; put our pending patent applications at risk of not issuing; and provoke third parties to assert claims against us. We may not prevail in any lawsuits that we initiate, and the damages or other remedies awarded, if any, may not be commercially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while we intend to protect our intellectual property rights in major markets for our products, we cannot ensure that we will be able to initiate or maintain similar efforts in all jurisdictions in which we may wish to market our products, if approved. Accordingly, our efforts to protect our intellectual property rights in such countries may be inadequate.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Geo-political actions in the U.S. and in foreign countries (such as retaliatory measures by foreign countries in response to actions by the United States,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filing, prosecution and maintenance of issued patents in Russia. These circumstances could result in abandonment or lapse of our patents or patent applications, resulting in partial or complete loss of patent rights in Russia. Further, many foreign countries could threaten to impose retaliatory measures that may adversely impact our intellectual property rights in those countries. For example, on March 14, 2025, Brazil enacted Law No. 15. 122/2025, known as the Economic Reciprocity Law, which provides a framework that allows for the suspension of obligations related to foreign entity’s intellectual property rights.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 order to protect our competitive position around our future product candidates, we may become involved in lawsuits to enforce our patents or other intellectual property, which could be expensive, time consuming and unsuccessful and which may result in our patents being found invalid or unenforceable.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seek to commercialize competitive products to our genome editing systems. In order to protect our competitive position, we may become involved in lawsuits asserting infringement of our patents, or misappropriation or other violations of other of our intellectual property rights. Litigation is expensive and time consuming and would likely divert the time and attention of our management and scientific personnel. There can be no assurance that we will have sufficient financial or other resources to file and pursue such infringement claims, which typically last for years before they are concluded. Additionally, we may be subject to claims of patent infringement during those proceedings, and delays caused by the federal agencies may increase the time period that we are subject to such claims. For example, administrative changes, including reduced staff and budgets experienced by the Patent and Trial Appeal Board, could further delay our ability to timely challenge any such patents.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file a patent infringement lawsuit against a perceived infringer, such a lawsuit could provoke the defendant to counterclaim that we infringe their patents and/or that our patents are invalid and/or unenforceable. In patent litigation in the United States, it is commonplace for a defendant to counterclaim alleging invalidity and/or unenforceability. In any patent litigation there is a risk that a court will decide that the asserted patents are invalid or unenforceable, in whole or in part, and that we do not have the right to stop the defendant from using the invention at issue. With respect to a counterclaim of invalidity, we cannot be certain that there is no invalidating prior art of which we and the patent examiner were unaware during prosecution. There is also a risk that, even if the validity of such patents is upheld, the court will construe the patent claims narrowly or decide that we do not have the right to stop the other party from using the invention at issue on the grounds that our patent claims do not cover the invention. If any of our patents are found invalid or unenforceable, or construed narrowly, our ability to stop the other party from launching a competitive product would be materially impaired. Further, such adverse outcomes could limit our ability to assert those patents against future competitors. Loss of patent protection would have a material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establish infringement of any of our patents by a competitive product, a court may decide not to grant an injunction against further infringing activity, thus allowing the competitive product to continue to be marketed by the competitor. It is difficult to obtain an injunction in U.S. litigation and a court could decide that the competitor should instead pay us a “reasonable royalty” as determined by the court, and/or other monetary damages. A reasonable royalty or other monetary damages may or may not be an adequate remedy. Loss of exclusivity and/or competition from a related product would have a material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Litigation often involves significant amounts of public disclosures. Such disclosures could have a materially adverse impact on our competitive position or our stock prices. During any litigation we would be required to produce voluminous records related to our patents and our research and development activities in a process called discovery. The discovery process may result in the disclosure of some of our confidential information. There could also be public announcements of the results of hearings, motions or other interim proceedings or developments. If securities analysts or investors perceive these results to be negative, it could adversely affect the price of our common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Litigation is inherently expensive, and the outcome is often uncertain. Any litigation likely would substantially increase our operating losses and reduce our resources available for development activities. Further,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As a result, we may conclude that even if a competitor is infringing any of our patents,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in the future, we in-license any patent rights,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Concurrently with an infringement litigation, third parties may also be able to challenge the validity of our patents before administrative bodies in the United States or abroad. Such mechanisms include re-examination, post grant review and equivalent proceedings in foreign jurisdictions, e.g., opposition proceedings. Such proceedings could result in revocation or amendment of our patents in such a way that they no longer cover our products, potentially negatively impacting any concurrent litigation.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sued for infringing intellectual property rights of third parties, such litigation could be costly and time consuming and could prevent or delay us from developing or commercializing our genome editing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our genome editing systems without infringing, misappropriating or otherwise violating the intellectual property and other proprietary rights of third parties. However, our research, development and commercialization activities may be subject to claims that we infringe, misappropriate or otherwise violate patents or other intellectual property rights owned or controlled by third parties. Third parties may have U.S. and non-U.S. issued patents and pending patent applications relating to compounds, methods of manufacturing compounds and/or methods of use for the treatment of the disease indications for which we are developing our genome editing systems. If any third-party patents or patent applications are found to cover our genome editing systems, or their methods of use or manufacture, we may not be free to manufacture or market such genome editing systems as planned without obtaining a license, which may not be available on commercially reasonable terms, or at all.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genome editing systems, including patent infringement lawsuits in the U.S. or abroad. There may be third-party patents or patent applications with claims to materials, formulations, methods of manufacture or methods for treatment related to the composition, use or manufacture of our genome editing systems. Third parties may assert infringement claims against us based on existing patents that they own or in-license or patents that may grant to them (or which they may in-license) in the future, regardless of the merit of such patents or infringement claims. If our defenses to such assertions of infringement were unsuccessful, we could be liable for a court-determined reasonable royalty on our existing sales and further damages to the patent owner (or licensee), such as lost profits. Such royalties and damages could be significant. If we are found to have willfully infringed the claims of a third party’s patent, the third party could be awarded treble damages and attorney’s fees. Further, unless we obtain a license to such patent, we may be precluded from commercializing the infringing genome editing system. Any of the aforementioned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perform periodic searches for relevant patents and patent applications with respect to our genome editing systems, including Cas proteins and therapeutic applications, we cannot guarantee the completeness or thoroughness of any of our patent searches or analyses including, but not limited to, the identification of relevant patents, the scope of patent claims or the expiration of relevant patents, nor can we be certain that we have identified each and every patent and pending application in the United States and abroad that is relevant to or necessary for the commercialization of any of our genome editing systems in any jurisdiction. Because patent applications can take many years to issue, there may be currently pending patent applications which may later result in issued patents that any of our genome editing systems may be accused of infringing. In addition, third parties may obtain patents in the future and claim that use of our technologies infringes upon these patents. Accordingly, third parties may assert infringement claims against us 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the relevant product or methods of using the product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parties making claims against us may be able to sustain the costs of complex patent litigation more effectively than we can because they have substantially greater resources, and we may not have sufficient resources to bring these actions to a successful conclusion.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Numerous third-party U.S. and foreign issued patents and pending patent applications exist in the fields in which we are developing genome editing systems. Our genome editing systems make use of CRISPR-based technology, which is a field that is highly active for patent filings and complex litigation. As of May 2024, it was reported that approximately 17,000 patent families worldwide cover CRISPR related inventions and their uses. That number has continued to increase. The extensive patent filings related to CRISPR make it difficult for us to assess the full extent of relevant patents and pending applications that may cover our genome editing systems and their use or manufacture. There may be third-party patents or patent applications with claims to materials, formulations, methods of manufacture or methods for treatment related to the use or manufacture of our genome editing systems. We are aware of multiple patents and patent applications directed to CRISPR technologies, Cas molecules, and their uses in genome editing. For example, we are aware of patent portfolios related to CRISPR/Cas genome editing systems that are owned or co-owned by Sigma Aldrich, Stanford University and Agilent Technologies, the Broad Institute and/or Harvard University and/or the Massachusetts Institute of Technology (“MIT”), and Targetgene Biotechnologies. We are also aware of patent portfolios related to base editing systems that are owned or co-owned by Beam Therapeutics, the Broad Institute and/or Harvard University and/or MIT, the University of California, Duke University, Kobe University, the Max Planck Institute, Wageningen University, ASC Therapeutics Inc, CRISPR Therapeutics, Bayer Healthcare LLC, Board of Regents of The University of Texas System and Bioray Laboratories. We are also aware of patent portfolios related to CRISPR associated transposase/retro-transposase (“CAST”) systems that are owned or co-owned by the Broad Institute, Arbor Biotechnologies, and the University of Rochester.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Intellectual property litigation is common in the biotechnology space and multiple parties have engaged in litigation to protect and enforce their CRISPR/Cas related patent estates. For example, patents and patent applications directed to catalytically-active Cas9 systems have been the subject of extensive adversarial patent office proceedings. These proceedings include USPTO Patent Trial and Appeal Board (“PTAB”) proceedings involving the Broad Institute and the University of California regarding the priority of inventions with respect to certain U.S. patents and patent applications each owns directed to catalytically-active Cas9. Our genome editing technologies do not use catalytically-active Cas9 and we are not aware of any valid third-party patents or patent applications that we believe cover our Cas-related genome editing system and proprietary technology. However, we may not have identified all relevant third-party patents and patent applications. Therefore, there can be no assurance that third parties will not assert patents against us in the future or that our patents and patent applications will not be challenged. Any litigation brought against us or our patents or patent applications, even if meritless,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found to infringe, misappropriate or otherwise violate a third party’s intellectual property rights, we could be forced, including by court order, to cease developing, manufacturing or commercializing the infringing product. Alternatively, we may be required to obtain a license from such third party in order to use the infringing technology and continue developing, manufacturing or marketing the infringing product. If we were required to obtain a license to continue to manufacture or market the affected product, we may be required to pay substantial royalties or grant cross-licenses to our patents. Even if we were able to obtain a license, it could be nonexclusive, thereby giving our competitors and other third parties access to the same technologies licensed to us. We cannot assure you that any such license will be available on acceptable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Ultimately, we could be prevented from commercializing a product, or be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 Furthermore,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significant monetary damages, including treble damages and attorneys’ fees if we are found to have willfully infringed a patent. A finding of infringement could prevent us from commercializing a product or force us to cease some of our business operations, which could harm our business. Claims that we have misappropriated the confidential information or trade secrets of third parties could have a similar negative impact on our business.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Others may challenge inventorship or claim an ownership interest in our intellectual property which could expose it to litigation and have a significant adverse effect on its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Determinations of inventorship can be subjective. While we undertake to accurately identify correct inventorship of inventions made on our behalf by our employees, consultants and contractors, an employee, consultant or contractor may disagree with our determination of inventorship and assert a claim of inventorship. Any disagreement over inventorship could result in our being forced to defend our determination of inventorship in a legal action which could result in substantial costs and be a distraction to our senior management and scientific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typically require employees, consultants and contractors who may develop intellectual property on our behalf to execute agreements assigning such intellectual property to us, we may be unsuccessful in obtaining 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If we are unsuccessful in obtaining assignment agreements from an employee, consultant or contractor who develops intellectual property on our behalf, the employee, consultant or contractor may later claim ownership of the invention. Any disagreement over ownership of intellectual property could result in our losing ownership, or exclusive ownership, of the contested intellectual property, paying monetary damages and/or being enjoined from clinical testing, manufacturing and marketing of the affected product candidate(s). Even if we are successful in prosecuting or defending against such claims, litigation could result in substantial costs and be a distraction to our senior management and scientific personnel.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current and former employees and our licensors’ current and former employees, including our senior management, were previously employed at universities or at other biotechnology or pharmaceutical companies, including some which may be competitors or potential competitors. Although we take commercially reasonable steps to ensure that our employees do not use the proprietary information, know-how or trade secrets of others in their work for us, including incorporating such intellectual property into our genome editing systems, we may be subject to claims that we or these employees have misappropriated the intellectual property of a third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of our employees are accused of misappropriating the proprietary information, know-how or trade secrets of a third party, we may be forced to defend such claims in litigation. If we are found to have misappropriated the intellectual property rights of a third party, we may be forced to pay monetary damages, sustain reputational damage, lose key personnel, or lose valuable intellectual property rights. Further, it may become necessary for us to obtain a license from such third party to commercialize any of our genome editing systems. Such a license may not be available on commercially reasonable terms or at all. Any of the aforementioned could materially affect the commercialization of any of our genome editing systems. Even if we are successful in defending against such claims, litigation could result in substantial costs and be a distraction to management.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proprietary trade secrets or confidential know-how and unpatented know-how to be important to our business. We may rely on trade secrets or confidential know-how to protect our technology, especially where patent protection is believed by us to be of limited value. We expect to rely on third parties for future manufacturing of our genome editing systems, and any future genome editing systems. We also expect to collaborate with third parties on the development of our genome editing systems and any future genome editing systems. As a result of the aforementioned collaborations, we must, at times, share trade secrets with our collaborators. We also conduct joint research and development programs that may require us to share trade secrets under the terms of our research and development partnerships or similar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secrets or confidential know-how can be difficult to maintain as confidential. To protect this type of information against disclosure or appropriation by competitors, our policy is to require our employees, consultants, contractors and advisors to enter into confidentiality agreements and, if applicable, material transfer agreements, consulting agreements or other similar agreements with us prior to beginning research or disclosing proprietary information. These agreements typically limit the rights of the third parties to use or disclose our confidential information, including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Enforcing a claim that a third party obtained illegally and is using trade secrets or confidential know-how is expensive, time consuming and unpredictable. The enforceability of confidentiality agreements may vary from jurisdiction to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need to acquire or license additional intellectual property from third parties, and such licenses may not be available or may not be available on commercially reasonable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hold intellectual property, including patent rights that are important or necessary to the development of our genome editing systems. It may be necessary for us to use the patented or proprietary technology of one or more third parties to commercialize our current and future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If we are unable to acquire such intellectual property outright, or obtain licenses to such intellectual property from such third parties when needed or on commercially reasonable terms, our ability to commercialize our genome editing systems, if approved, would likely be delayed or we may have to abandon development of that product genome editing systems or program and our business and financial condition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in-license additional genome editing systems in the future, we might become dependent on proprietary rights from third parties with respect to those genome editing systems. Any termination of such licenses could result in the loss of significant rights and would cause material adverse harm to our ability to develop and commercialize any genome editing systems subject to such licenses. Even if we are able to in-license any such necessary intellectual property, it could be on nonexclusive terms, including with respect to the use, field or territory of the licensed intellectual property, thereby giving our competitors and other third parties access to the same intellectual property licensed to us. In-licensing IP rights could require us to make substantial licensing and royalty payments. Patents licensed to us could be put at risk of being invalidated or interpreted narrowly in litigation filed by or against our licensors or another licensee or in administrative proceedings. If any in-licensed patents are invalidated or held unenforceable, we may not be able to prevent competitors or other third parties from developing and commercializing competitive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the right to control the prosecution, maintenance, enforcement or defense of patents and patent applications that we license from third parties. In such cases, we would be 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use may be less vigorous than had we conducted them ourselves. Any of the foregoing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may also arise between us and our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or other obligations under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licensed technology in relation to our development and commercialization of our genome editing systems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be unable to successfully develop and commercialize the affected genome editing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risks described elsewhere pertaining to our intellectual property rights also apply to the intellectual property rights that we may own or in-license now or in the future,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potential future licensors may fail to take the steps that we believe are necessary or desirable in order to obtain, maintain, defend and enforce the licensed patents.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trademarks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trademarks or trade names may be challenged, infringed, circumvented or declared generic or determined to be infringing on other marks. We rely on both registration and common law protection for our trademarks.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any name we propose to use for our products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If we are unable to establish name recognition based on our trademarks and trade names, we may not be able to compete effectively and our business may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competitive to our genome editing systems or any of our future genome editing systems but that are not covered by the claims of our patent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otherwise circumvent any of our technologies without infringing our patent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any of our collaborators might not have been the first to invent the inventions covered by our patent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any of our collaborators might not have been the first to file patent applications covering certain of the patents or patent applications that we or they own or have obtained a license, or will own or will have obtained a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or those that we may file in the future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have access to the same intellectual property rights licensed to us on a non-exclusive basis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may not provide us with any competitive advantage, or may be held invalid or unenforceable, including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ownership of our patent portfolio may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third parties or pending or future applications of third parties, if issued, may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enforcement is expensive and time-consuming and difficult to predict; thus, we may not be able to enforce any of our patents against a competitor;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application for certain inventions, instead choosing to rely on trade secret protection, and a third party may subsequently file a patent covering such intellectual property.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our Common Stock, and Operating as a Public Company</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common stock has been, and may continue to be, volatile, which could result in substantial losses for investors</w:t>
      </w:r>
      <w:r>
        <w:rPr>
          <w:rFonts w:ascii="Times New Roman" w:hAnsi="Times New Roman"/>
          <w:b/>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for our common stock may be influenced by those factors discussed in this “Risk Factors” section and many others, some of which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existing or new competitive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preclinical studies and clinical trials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discontinuation of any of our development and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any preclinical studies, clinical trials or regulatory approvals of product candidates of our competitors, or announcements about new research programs or product candidates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changing views regarding the use of genetic therapies, including those that involve genome editing;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commencement or termination of collaborations for our product development and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intellectual property or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any of our research programs, clinical development programs or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efforts to develop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 if any, that cover our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 including under our ATM Sales Agreement with Jefferies;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any pending or future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such as those arising from U.S.-China relations, rising interest rates and inflation or deflation;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health pandemics, epidemics or outbreaks of a contagious illness;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tensions or the outbreak of hostilities or war, including from the ongoing Russia-Ukraine conflict, the current conflict in Israel and Gaza (including any escalation or expansion) and increasing tensions between China and Taiwan;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In particular, in relation to uncertainty around inflation and the U.S. Federal Reserve’s measures to slow inflation, the stock market has been exceptionally volatile.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currently, and may in the future be, subject to securities litigation, which is expensive and could divert management attention. This lawsuit, and potential similar or related lawsuits, could result in substantial damages, divert management’s time and attention from our business, and have a material adverse effect on our financial position, results of operations or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Securities-related class action lawsuits and/or derivative lawsuits have often been brought against companies, including pharmaceutical and biotechnology companies, that experience volatility in the market price of their securities. This risk is especially relevant for us because we often experience significant stock price volatility in connection with our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26, 2024, a class action complaint was filed in the U.S. District Court for the Northern District of California against our company and certain of our officers and certain of our current and former directors, captioned Vreeland v. Metagenomi Inc. et al., No. 5:24-cv-06765 (the “Securities Action”). The Securities Action alleges violations of Section 11 of the Securities Act against all defendants and control person violations of Section 15 against the individuals. The Securities Action alleges that the defendants made misleading statements and omitted to disclose material information concerning our collaboration with Moderna in our registration statement and final prospectus materials filed in January 2024 and February 2024. The Securities Action seeks, among other things, compensatory damages as well as costs and expenses, including attorneys’ fees and expert fees. On February 10, 2025, the court appointed Mingxi Bi as lead plaintiff. The lead plaintiff’s amended complaint is due on April 4, 2025 under the current case schedule. We intend to defend vigorously against this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this time, no assessment can be made as to the likely outcome, therefore we cannot determine the likelihood of loss, if any, nor estimate a range of possible loss. We may also become subject to additional securities class action lawsuits in the future. The cost of defending against these types of claims against us or the ultimate resolution of such claims, whether by settlement or adverse court decision, may harm our business. Further, potential claimants may be encouraged to bring lawsuits based on a settlement from us or adverse court decisions against us. We cannot currently assess the likely outcome of such suits, but the commencement and/or resolution of such suits (particularly if the outcome were negative), could have a material adverse effect on our reputation, financial position, results of operations and cash flows. They could also cause a decline in the market price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and continue to incur, increased costs as a result of operating as a public company, and our management is required to devote substantial time to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and particularly after we are no longer an “emerging growth company,” we have incurred, and continue to incur, significant legal, accounting and other expenses that we did not incur as a private company. The Sarbanes-Oxley Act of 2002 (“SOX”),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SOX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have been engaged in a process to document and evaluate our internal control over financial reporting, which is both costly and challenging. In this regard, we will need to continue to dedicate internal resources and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in the future we will not be able to conclude, within the prescribed timeframe or at all, that our internal control over financial reporting is effective as required by SOX Section 404. This could result in an adverse reaction in the financial markets due to a loss of confidence in the reliability of our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know whether a market will be sustained for our common stock or what the market price of our common stock will be, and, as a result, it may be difficult for you to sell your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our common stock is listed on the Nasdaq Global Select Market, an active or liquid market in our common stock may not be sustained. If a market for our common is not sustained, it may be difficult for you to sell your shares of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sales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we may offer and sell up to $75.0 million of shares of our common stock from time to time pursuant to the ATM Sales Agreement that we have entered into with Jefferies. As of March 31, 2025, we have not sold any shares of our common stock pursuant to the ATM Sales Agreement. Depending on market liquidity at the time, sales of our common stock pursuant to the ATM Sales Agreement may cause the trading price of our common stock to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37,382,478 shares of our common stock were outstanding. Shares of unvested restricted common stock will become available for sale immediately upon the vesting of such shares, as applicable, and the expiration of any applicable market stand-off or lock-up agreements. Shares issued upon the exercise of stock options pursuant to future awards that may be granted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the future, we may issue additional shares of common stock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for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is different than the information that is available with respect to other public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Insiders have substantial influence over us, which could limit your ability to affect the outcome of key transactions, including a change of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directors and executive officers and their affiliates beneficially own a significant amount of our outstanding common stock. As a result, these stockholders, if they act together, will be able to influence our management and affairs and all matters requiring stockholder approval. For example, these stockholders may be able to control elections of directors, amendments of our organizational documents or approval of any merger, sale of assets or other major corporate transaction. This concentration of ownership may have the effect of delaying or preventing a change in control of our company and might affect the market price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expect to pay any dividends for the foreseeable future. Investors may never obtain a return on their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establish and maintain proper and effective internal control over financial reporting, our operating results and our ability to operate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Pursuant to SOX Section 404, we are required to provide a management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amended and restated bylaws designate specific courts as the exclusive forum for certain litigation that may be initiated by our stockholders, which could limit stockholders’ ability to obtain a favorable judicial forum for disputes with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amended and restated bylaws, unless we consent in writing to the selection of an alternative forum, the Court of Chancery of the State of Delaware is the sole and exclusive forum for any state law claims for (i) any derivative action or proceeding brought on our behalf; (ii) any action asserting a claim of or based on a breach of a fiduciary duty owed by any director, officer or other employee of ours to us or our stockholders; (iii) any action asserting a claim pursuant to any provision of the DGCL, our amended and restated certificate of incorporation or our amended and restated bylaws or as to which the DGCL confers jurisdiction on the Court of Chancery of the State of Delaware; or (iv) any action asserting a claim governed by the internal affairs doctrine (the “Delaware Forum Provision”). The Delaware Forum Provision will not apply to any causes of action arising under the Securities Act or the Securities Exchange Act of 1934, as amended (the “Exchange Act”). Our amended and restated bylaws further provide that unless we consent in writing to the selection of an alternative forum, the federal district courts of the United States shall be the sole and exclusive forum for resolving any complaint asserting a cause of action arising under the Securities Act, the Exchange Act, the respective rules and regulations promulgated thereunder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in our amended and restated certificate of incorporation and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amended and restated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 classified board of directors whose members serve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expressly authorized our board of directors to make, alter, amend or repeal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supermajority votes of the holders of our common stock to amend specified provisions of our amended and restated certificate of incorporation and amended and restated bylaws.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because we are incorporated in the State of Delaware, we are governed by the provisions of Section 203 of the DGCL,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Adverse developments affecting the financial services industry could adversely affect our current and projected business operations and our financial condition </w:t>
      </w:r>
      <w:r>
        <w:rPr>
          <w:rFonts w:ascii="Times New Roman" w:hAnsi="Times New Roman"/>
          <w:b/>
          <w:color w:val="000000"/>
          <w:sz w:val="20"/>
        </w:rPr>
        <w:t>and</w:t>
      </w:r>
      <w:r>
        <w:rPr>
          <w:rFonts w:ascii="Times New Roman" w:hAnsi="Times New Roman"/>
          <w:color w:val="000000"/>
          <w:sz w:val="20"/>
        </w:rPr>
        <w:t xml:space="preserve"> </w:t>
      </w:r>
      <w:r>
        <w:rPr>
          <w:rFonts w:ascii="Times New Roman" w:hAnsi="Times New Roman"/>
          <w:b/>
          <w:i/>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was also swept into receivership. The U.S. Department of Treasury, the Federal Reserve Board (the “Federal Reserve”), and the FDIC released a statement that indicated that all depositors of SVB would have access to all of their funds, including funds held in uninsured deposit accounts, after only one business day of closure. The U.S. Department of Treasury, FDIC and Federal Reserve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however, that the U.S. Department of Treasury, FDIC and Federal Reserve will provide access to uninsured funds in the future in the event of the closure of other banks or financial institutions, or that they would do so in a timely fashion.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SVB’s failure, we have diversified our cash deposit holdings between multiple financial institutions, and we have not experienced any adverse impact to our current and projected business operations, financial condition or results of operations as a result of the closure of SVB or any other banks. However, uncertainty remains over liquidity concerns in the broader financial services industry, and our business, our business partners, or industry as a whole may be adversely impacted in ways that we cannot predict at this time. If, for example, other banks and financial institutions enter receivership or become insolvent in the future in response to financial conditions affecting the banking system and financial markets, our ability to access our existing cash, cash equivalents and available-for-sale marketable securities may be threatened.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expect to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one or more of our critical vendors, third party manufacturers, or other business partners could be adversely affected by any of the liquidity or other risks that are described above, which in turn, could have a material adverse effect on our current and/or projected business operations and results of operations and financial condition. Any business partner bankruptcy or insolvency, or any breach or default by a business partner, or the loss of any significant supplier relationships, could result in material adverse impacts on our current and/or projected business operations and financial condition.</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 share repurchase program and no shares were repurchased in the first quarter of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13, 2024, we closed our initial public offering (“IPO”), pursuant to which we issued and sold 6,250,000 shares of common stock at an initial public offering price of $15.00 per share. The offer and sale of all of the shares of our common stock in the IPO were registered under the Securities Act pursuant to a registration statement on Form S-1 (File No. 333-276413), which was declared effective by the SEC on February 8, 2024. J.P. Morgan, Jefferies, TD Cowen, Wells Fargo Securities, and BMO Capital Markets acted as joint book-running managers and Chardan acted as lead manager for the IPO.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received aggregate gross proceeds from the IPO of $93.8 million, or aggregate net proceeds of $80.7 million after deducting underwriting discounts and commissions and other offering costs of $13.0 million. None of the underwriting discounts and commissions or offering expenses were incurred or paid, directly or indirectly, to (i) our directors or officers or their associates, (ii) persons owning 10% or more of our common stock or (iii) any of our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no material change in our planned use of the net proceeds from the IPO as described in our final prospectus filed pursuant to Rule 424(b)(4) under the Securities Act with the SEC on February 12, 2024.</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There have been no material changes to the procedures by which security holders may recommend nominees to the Company’s board of directors since the Company last provided disclosure in response to the requirements of Item 407(c)(3) of Regulation 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During the quarter ended March 31, 2025, no director or “officer” of the Company, as defined in Rule 16a-1(f) under the Exchange Act, adopted or terminated a “Rule 10b5-1 trading arrangement” or “non-Rule 10b5-1 trading arrangement,” as each term is defined in Item 408(a)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90"/>
        <w:gridCol w:w="146"/>
        <w:gridCol w:w="5872"/>
        <w:gridCol w:w="146"/>
        <w:gridCol w:w="511"/>
        <w:gridCol w:w="146"/>
        <w:gridCol w:w="860"/>
        <w:gridCol w:w="146"/>
        <w:gridCol w:w="691"/>
        <w:gridCol w:w="146"/>
        <w:gridCol w:w="751"/>
      </w:tblGrid>
      <w:tr>
        <w:trPr/>
        <w:tc>
          <w:tcPr>
            <w:tcW w:w="79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7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gridSpan w:val="11"/>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INDEX</w:t>
            </w:r>
          </w:p>
        </w:tc>
      </w:tr>
      <w:tr>
        <w:trPr/>
        <w:tc>
          <w:tcPr>
            <w:tcW w:w="7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51"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9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8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Open Market Sales Agreement</w:t>
              </w:r>
            </w:hyperlink>
            <w:hyperlink r:id="rId3">
              <w:r>
                <w:rPr>
                  <w:rStyle w:val="InternetLink"/>
                  <w:rFonts w:ascii="Times New Roman" w:hAnsi="Times New Roman"/>
                  <w:color w:val="0000FF"/>
                  <w:sz w:val="13"/>
                  <w:u w:val="single"/>
                </w:rPr>
                <w:t>SM</w:t>
              </w:r>
            </w:hyperlink>
            <w:hyperlink r:id="rId4">
              <w:r>
                <w:rPr>
                  <w:rStyle w:val="InternetLink"/>
                  <w:rFonts w:ascii="Times New Roman" w:hAnsi="Times New Roman"/>
                  <w:color w:val="0000FF"/>
                  <w:sz w:val="20"/>
                  <w:u w:val="single"/>
                </w:rPr>
                <w:t>, dated as of March 17, 2025, between the Registrant and Jefferies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333-285867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03/17/2025</w:t>
            </w:r>
          </w:p>
        </w:tc>
      </w:tr>
      <w:tr>
        <w:trPr/>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02/13/2024</w:t>
            </w:r>
          </w:p>
        </w:tc>
      </w:tr>
      <w:tr>
        <w:trPr/>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02/13/2024</w:t>
            </w:r>
          </w:p>
        </w:tc>
      </w:tr>
      <w:tr>
        <w:trPr/>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hyperlink w:anchor="mgx-ex31_1.htm">
              <w:r>
                <w:rPr>
                  <w:rStyle w:val="InternetLink"/>
                  <w:rFonts w:ascii="Times New Roman" w:hAnsi="Times New Roman"/>
                  <w:color w:val="0000FF"/>
                  <w:sz w:val="20"/>
                  <w:u w:val="single"/>
                </w:rPr>
                <w:t>Certification of Principal Executive Officer pursuant to Rule 13a-14(a) or Rule 15d-14(a) of the Exchange Act,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hyperlink w:anchor="mgx-ex31_2.htm">
              <w:r>
                <w:rPr>
                  <w:rStyle w:val="InternetLink"/>
                  <w:rFonts w:ascii="Times New Roman" w:hAnsi="Times New Roman"/>
                  <w:color w:val="0000FF"/>
                  <w:sz w:val="20"/>
                  <w:u w:val="single"/>
                </w:rPr>
                <w:t>Certification of Principal Financial Officer pursuant to Rule 13a-14(a) or Rule 15d-14(a) of the Exchange Act,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hyperlink w:anchor="mgx-ex32_1.htm">
              <w:r>
                <w:rPr>
                  <w:rStyle w:val="InternetLink"/>
                  <w:rFonts w:ascii="Times New Roman" w:hAnsi="Times New Roman"/>
                  <w:color w:val="0000FF"/>
                  <w:sz w:val="20"/>
                  <w:u w:val="single"/>
                </w:rPr>
                <w:t>Certifications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Filed herewith</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Furnished herewith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769" w:type="dxa"/>
        <w:jc w:val="left"/>
        <w:tblInd w:w="0" w:type="dxa"/>
        <w:tblLayout w:type="fixed"/>
        <w:tblCellMar>
          <w:top w:w="28" w:type="dxa"/>
          <w:left w:w="28" w:type="dxa"/>
          <w:bottom w:w="28" w:type="dxa"/>
          <w:right w:w="28" w:type="dxa"/>
        </w:tblCellMar>
      </w:tblPr>
      <w:tblGrid>
        <w:gridCol w:w="1741"/>
        <w:gridCol w:w="146"/>
        <w:gridCol w:w="406"/>
        <w:gridCol w:w="247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Metagenomi,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C. Thomas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C. Thomas,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5774" w:type="dxa"/>
        <w:jc w:val="left"/>
        <w:tblInd w:w="0" w:type="dxa"/>
        <w:tblLayout w:type="fixed"/>
        <w:tblCellMar>
          <w:top w:w="28" w:type="dxa"/>
          <w:left w:w="28" w:type="dxa"/>
          <w:bottom w:w="28" w:type="dxa"/>
          <w:right w:w="28" w:type="dxa"/>
        </w:tblCellMar>
      </w:tblPr>
      <w:tblGrid>
        <w:gridCol w:w="1741"/>
        <w:gridCol w:w="146"/>
        <w:gridCol w:w="406"/>
        <w:gridCol w:w="348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Pamela Wapnick</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Pamela Wapnick, M.B.A.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(Principal Financial Officer and Principal</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Accounting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mgx-ex31_1.htm"/>
      <w:bookmarkStart w:id="22" w:name="ksmgx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C. Thomas,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Metagenomi,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240"/>
        <w:jc w:val="left"/>
        <w:rPr/>
      </w:pPr>
      <w:r>
        <w:rPr/>
        <w:t> </w:t>
      </w:r>
    </w:p>
    <w:tbl>
      <w:tblPr>
        <w:tblW w:w="4852" w:type="dxa"/>
        <w:jc w:val="left"/>
        <w:tblInd w:w="0" w:type="dxa"/>
        <w:tblLayout w:type="fixed"/>
        <w:tblCellMar>
          <w:top w:w="28" w:type="dxa"/>
          <w:left w:w="28" w:type="dxa"/>
          <w:bottom w:w="28" w:type="dxa"/>
          <w:right w:w="28" w:type="dxa"/>
        </w:tblCellMar>
      </w:tblPr>
      <w:tblGrid>
        <w:gridCol w:w="1741"/>
        <w:gridCol w:w="109"/>
        <w:gridCol w:w="406"/>
        <w:gridCol w:w="25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C. Thomas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Brian C. Thomas,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mgx-ex31_2.htm"/>
      <w:bookmarkStart w:id="24" w:name="ksmgx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Pamela Wapnick,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Metagenomi,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240"/>
        <w:jc w:val="left"/>
        <w:rPr/>
      </w:pPr>
      <w:r>
        <w:rPr/>
        <w:t> </w:t>
      </w:r>
    </w:p>
    <w:tbl>
      <w:tblPr>
        <w:tblW w:w="7672" w:type="dxa"/>
        <w:jc w:val="left"/>
        <w:tblInd w:w="0" w:type="dxa"/>
        <w:tblLayout w:type="fixed"/>
        <w:tblCellMar>
          <w:top w:w="28" w:type="dxa"/>
          <w:left w:w="28" w:type="dxa"/>
          <w:bottom w:w="28" w:type="dxa"/>
          <w:right w:w="28" w:type="dxa"/>
        </w:tblCellMar>
      </w:tblPr>
      <w:tblGrid>
        <w:gridCol w:w="1741"/>
        <w:gridCol w:w="109"/>
        <w:gridCol w:w="406"/>
        <w:gridCol w:w="541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Pamela Wapnick</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Pamela Wapnick, M.B.A.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mgx-ex32_1.htm"/>
      <w:bookmarkStart w:id="26" w:name="ksmgxex32_1"/>
      <w:bookmarkEnd w:id="25"/>
      <w:bookmarkEnd w:id="2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Metagenomi, Inc. (the “Company”) on Form 10-Q for the period ending March 31, 2025, as filed with the Securities and Exchange Commission on the date hereof (the “Report”), the undersigned officers of the Company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240"/>
        <w:jc w:val="left"/>
        <w:rPr/>
      </w:pPr>
      <w:r>
        <w:rPr/>
        <w:t> </w:t>
      </w:r>
    </w:p>
    <w:tbl>
      <w:tblPr>
        <w:tblW w:w="4852" w:type="dxa"/>
        <w:jc w:val="left"/>
        <w:tblInd w:w="0" w:type="dxa"/>
        <w:tblLayout w:type="fixed"/>
        <w:tblCellMar>
          <w:top w:w="28" w:type="dxa"/>
          <w:left w:w="28" w:type="dxa"/>
          <w:bottom w:w="28" w:type="dxa"/>
          <w:right w:w="28" w:type="dxa"/>
        </w:tblCellMar>
      </w:tblPr>
      <w:tblGrid>
        <w:gridCol w:w="1741"/>
        <w:gridCol w:w="109"/>
        <w:gridCol w:w="406"/>
        <w:gridCol w:w="25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C. Thomas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Brian C. Thomas,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0" w:after="240"/>
        <w:jc w:val="left"/>
        <w:rPr/>
      </w:pPr>
      <w:r>
        <w:rPr/>
        <w:t> </w:t>
      </w:r>
    </w:p>
    <w:tbl>
      <w:tblPr>
        <w:tblW w:w="7672" w:type="dxa"/>
        <w:jc w:val="left"/>
        <w:tblInd w:w="0" w:type="dxa"/>
        <w:tblLayout w:type="fixed"/>
        <w:tblCellMar>
          <w:top w:w="28" w:type="dxa"/>
          <w:left w:w="28" w:type="dxa"/>
          <w:bottom w:w="28" w:type="dxa"/>
          <w:right w:w="28" w:type="dxa"/>
        </w:tblCellMar>
      </w:tblPr>
      <w:tblGrid>
        <w:gridCol w:w="1741"/>
        <w:gridCol w:w="109"/>
        <w:gridCol w:w="406"/>
        <w:gridCol w:w="541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Pamela Wapnick</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Pamela Wapnick, M.B.A.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5279/000095017025040421/mgx-ex1_2.htm" TargetMode="External"/><Relationship Id="rId3" Type="http://schemas.openxmlformats.org/officeDocument/2006/relationships/hyperlink" Target="https://www.sec.gov/Archives/edgar/data/1785279/000095017025040421/mgx-ex1_2.htm" TargetMode="External"/><Relationship Id="rId4" Type="http://schemas.openxmlformats.org/officeDocument/2006/relationships/hyperlink" Target="https://www.sec.gov/Archives/edgar/data/1785279/000095017025040421/mgx-ex1_2.htm" TargetMode="External"/><Relationship Id="rId5" Type="http://schemas.openxmlformats.org/officeDocument/2006/relationships/hyperlink" Target="https://www.sec.gov/Archives/edgar/data/1785279/000119312524033697/d770467dex31.htm" TargetMode="External"/><Relationship Id="rId6" Type="http://schemas.openxmlformats.org/officeDocument/2006/relationships/hyperlink" Target="https://www.sec.gov/Archives/edgar/data/1785279/000119312524033697/d770467d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70966</Words>
  <Characters>399693</Characters>
  <CharactersWithSpaces>470342</CharactersWithSpaces>
  <Paragraphs>5069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